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784EF0" w14:textId="508824CF" w:rsidR="001C4561" w:rsidRDefault="008E0FC1" w:rsidP="001C4561">
      <w:pPr>
        <w:tabs>
          <w:tab w:val="center" w:pos="4680"/>
        </w:tabs>
        <w:suppressAutoHyphens/>
        <w:jc w:val="center"/>
        <w:rPr>
          <w:rFonts w:ascii="Lucida Sans Unicode" w:hAnsi="Lucida Sans Unicode" w:cs="Lucida Sans Unicode"/>
          <w:b/>
          <w:color w:val="666699"/>
          <w:sz w:val="20"/>
        </w:rPr>
      </w:pPr>
      <w:bookmarkStart w:id="0" w:name="_Hlk146019604"/>
      <w:bookmarkEnd w:id="0"/>
      <w:r>
        <w:rPr>
          <w:rFonts w:ascii="Lucida Sans Unicode" w:hAnsi="Lucida Sans Unicode" w:cs="Lucida Sans Unicode"/>
          <w:b/>
          <w:color w:val="666699"/>
          <w:sz w:val="20"/>
        </w:rPr>
        <w:tab/>
      </w:r>
    </w:p>
    <w:p w14:paraId="157904CA" w14:textId="77777777" w:rsidR="001C4561" w:rsidRDefault="001C4561" w:rsidP="001C4561">
      <w:pPr>
        <w:tabs>
          <w:tab w:val="center" w:pos="4680"/>
        </w:tabs>
        <w:suppressAutoHyphens/>
        <w:jc w:val="center"/>
        <w:rPr>
          <w:rFonts w:ascii="Lucida Sans Unicode" w:hAnsi="Lucida Sans Unicode" w:cs="Lucida Sans Unicode"/>
          <w:b/>
          <w:color w:val="000080"/>
          <w:sz w:val="40"/>
          <w:szCs w:val="40"/>
        </w:rPr>
      </w:pPr>
      <w:r>
        <w:rPr>
          <w:rFonts w:ascii="Lucida Sans Unicode" w:hAnsi="Lucida Sans Unicode" w:cs="Lucida Sans Unicode"/>
          <w:b/>
          <w:color w:val="000080"/>
          <w:sz w:val="40"/>
          <w:szCs w:val="40"/>
        </w:rPr>
        <w:t>NORTH CAROLINA DEPARTMENT OF TRANSPORTATION</w:t>
      </w:r>
    </w:p>
    <w:p w14:paraId="5EB96451" w14:textId="77777777" w:rsidR="001C4561" w:rsidRDefault="001C4561" w:rsidP="001C4561">
      <w:pPr>
        <w:tabs>
          <w:tab w:val="left" w:pos="0"/>
        </w:tabs>
        <w:suppressAutoHyphens/>
        <w:rPr>
          <w:rFonts w:ascii="Palatino Linotype" w:hAnsi="Palatino Linotype" w:cs="Lucida Sans Unicode"/>
          <w:b/>
          <w:spacing w:val="-4"/>
        </w:rPr>
      </w:pPr>
      <w:r>
        <w:rPr>
          <w:rFonts w:ascii="Lucida Sans Unicode" w:hAnsi="Lucida Sans Unicode" w:cs="Lucida Sans Unicode"/>
          <w:b/>
          <w:noProof/>
          <w:color w:val="000080"/>
          <w:spacing w:val="-4"/>
          <w:sz w:val="72"/>
          <w:szCs w:val="72"/>
        </w:rPr>
        <mc:AlternateContent>
          <mc:Choice Requires="wps">
            <w:drawing>
              <wp:anchor distT="0" distB="0" distL="114300" distR="114300" simplePos="0" relativeHeight="251658241" behindDoc="0" locked="0" layoutInCell="1" allowOverlap="1" wp14:anchorId="63181179" wp14:editId="2D633D67">
                <wp:simplePos x="0" y="0"/>
                <wp:positionH relativeFrom="column">
                  <wp:posOffset>1543685</wp:posOffset>
                </wp:positionH>
                <wp:positionV relativeFrom="paragraph">
                  <wp:posOffset>144145</wp:posOffset>
                </wp:positionV>
                <wp:extent cx="2692400" cy="2600325"/>
                <wp:effectExtent l="0" t="0" r="0" b="0"/>
                <wp:wrapSquare wrapText="bothSides"/>
                <wp:docPr id="1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0" cy="2600325"/>
                        </a:xfrm>
                        <a:prstGeom prst="rect">
                          <a:avLst/>
                        </a:prstGeom>
                        <a:noFill/>
                        <a:ln>
                          <a:noFill/>
                        </a:ln>
                        <a:extLst>
                          <a:ext uri="{909E8E84-426E-40DD-AFC4-6F175D3DCCD1}">
                            <a14:hiddenFill xmlns:a14="http://schemas.microsoft.com/office/drawing/2010/main">
                              <a:solidFill>
                                <a:srgbClr val="9966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0029F9" w14:textId="77777777" w:rsidR="001C4561" w:rsidRDefault="001C4561" w:rsidP="001C4561">
                            <w:r>
                              <w:rPr>
                                <w:rFonts w:ascii="Palatino Linotype" w:hAnsi="Palatino Linotype" w:cs="Lucida Sans Unicode"/>
                                <w:noProof/>
                                <w:sz w:val="22"/>
                                <w:szCs w:val="22"/>
                              </w:rPr>
                              <w:drawing>
                                <wp:inline distT="0" distB="0" distL="0" distR="0" wp14:anchorId="75B05FBE" wp14:editId="0A55F855">
                                  <wp:extent cx="2505075"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181179" id="_x0000_t202" coordsize="21600,21600" o:spt="202" path="m,l,21600r21600,l21600,xe">
                <v:stroke joinstyle="miter"/>
                <v:path gradientshapeok="t" o:connecttype="rect"/>
              </v:shapetype>
              <v:shape id="Text Box 3" o:spid="_x0000_s1026" type="#_x0000_t202" style="position:absolute;margin-left:121.55pt;margin-top:11.35pt;width:212pt;height:204.75pt;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" filled="f" fillcolor="#960" stroked="f">
                <v:textbox>
                  <w:txbxContent>
                    <w:p w14:paraId="490029F9" w14:textId="77777777" w:rsidR="001C4561" w:rsidRDefault="001C4561" w:rsidP="001C4561">
                      <w:r>
                        <w:rPr>
                          <w:rFonts w:ascii="Palatino Linotype" w:hAnsi="Palatino Linotype" w:cs="Lucida Sans Unicode"/>
                          <w:noProof/>
                          <w:sz w:val="22"/>
                          <w:szCs w:val="22"/>
                        </w:rPr>
                        <w:drawing>
                          <wp:inline distT="0" distB="0" distL="0" distR="0" wp14:anchorId="75B05FBE" wp14:editId="0A55F855">
                            <wp:extent cx="2505075" cy="2505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a:noFill/>
                                    </a:ln>
                                  </pic:spPr>
                                </pic:pic>
                              </a:graphicData>
                            </a:graphic>
                          </wp:inline>
                        </w:drawing>
                      </w:r>
                    </w:p>
                  </w:txbxContent>
                </v:textbox>
                <w10:wrap type="square"/>
              </v:shape>
            </w:pict>
          </mc:Fallback>
        </mc:AlternateContent>
      </w:r>
    </w:p>
    <w:p w14:paraId="094A5457"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03924A14"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1E3084C9"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4662CA3E" w14:textId="77777777" w:rsidR="001C4561" w:rsidRDefault="001C4561" w:rsidP="001C4561">
      <w:pPr>
        <w:tabs>
          <w:tab w:val="center" w:pos="4680"/>
        </w:tabs>
        <w:suppressAutoHyphens/>
        <w:rPr>
          <w:rFonts w:ascii="Lucida Sans Unicode" w:hAnsi="Lucida Sans Unicode" w:cs="Lucida Sans Unicode"/>
          <w:b/>
          <w:color w:val="000080"/>
          <w:spacing w:val="-4"/>
          <w:sz w:val="72"/>
          <w:szCs w:val="72"/>
        </w:rPr>
      </w:pPr>
    </w:p>
    <w:p w14:paraId="4E4A0498" w14:textId="2235FA67" w:rsidR="0078204B" w:rsidRDefault="00FA6695" w:rsidP="001C4561">
      <w:pPr>
        <w:tabs>
          <w:tab w:val="center" w:pos="4680"/>
        </w:tabs>
        <w:suppressAutoHyphens/>
        <w:jc w:val="center"/>
        <w:rPr>
          <w:rFonts w:ascii="Lucida Sans Unicode" w:hAnsi="Lucida Sans Unicode" w:cs="Lucida Sans Unicode"/>
          <w:b/>
          <w:color w:val="000080"/>
          <w:sz w:val="56"/>
          <w:szCs w:val="56"/>
        </w:rPr>
      </w:pPr>
      <w:r>
        <w:rPr>
          <w:rFonts w:ascii="Lucida Sans Unicode" w:hAnsi="Lucida Sans Unicode" w:cs="Lucida Sans Unicode"/>
          <w:b/>
          <w:color w:val="000080"/>
          <w:sz w:val="56"/>
          <w:szCs w:val="56"/>
        </w:rPr>
        <w:t>FY2</w:t>
      </w:r>
      <w:r w:rsidR="002A1F72">
        <w:rPr>
          <w:rFonts w:ascii="Lucida Sans Unicode" w:hAnsi="Lucida Sans Unicode" w:cs="Lucida Sans Unicode"/>
          <w:b/>
          <w:color w:val="000080"/>
          <w:sz w:val="56"/>
          <w:szCs w:val="56"/>
        </w:rPr>
        <w:t>7</w:t>
      </w:r>
      <w:r>
        <w:rPr>
          <w:rFonts w:ascii="Lucida Sans Unicode" w:hAnsi="Lucida Sans Unicode" w:cs="Lucida Sans Unicode"/>
          <w:b/>
          <w:color w:val="000080"/>
          <w:sz w:val="56"/>
          <w:szCs w:val="56"/>
        </w:rPr>
        <w:t xml:space="preserve"> </w:t>
      </w:r>
    </w:p>
    <w:p w14:paraId="14C2FE39" w14:textId="257CBEC5" w:rsidR="001C4561" w:rsidRDefault="000C18F9" w:rsidP="001C4561">
      <w:pPr>
        <w:tabs>
          <w:tab w:val="center" w:pos="4680"/>
        </w:tabs>
        <w:suppressAutoHyphens/>
        <w:jc w:val="center"/>
        <w:rPr>
          <w:rFonts w:ascii="Lucida Sans Unicode" w:hAnsi="Lucida Sans Unicode" w:cs="Lucida Sans Unicode"/>
          <w:b/>
          <w:color w:val="000080"/>
          <w:sz w:val="56"/>
          <w:szCs w:val="56"/>
        </w:rPr>
      </w:pPr>
      <w:r>
        <w:rPr>
          <w:rFonts w:ascii="Lucida Sans Unicode" w:hAnsi="Lucida Sans Unicode" w:cs="Lucida Sans Unicode"/>
          <w:b/>
          <w:color w:val="000080"/>
          <w:sz w:val="56"/>
          <w:szCs w:val="56"/>
        </w:rPr>
        <w:t xml:space="preserve">Increased Federal Share </w:t>
      </w:r>
      <w:r w:rsidR="00CD781D">
        <w:rPr>
          <w:rFonts w:ascii="Lucida Sans Unicode" w:hAnsi="Lucida Sans Unicode" w:cs="Lucida Sans Unicode"/>
          <w:b/>
          <w:color w:val="000080"/>
          <w:sz w:val="56"/>
          <w:szCs w:val="56"/>
        </w:rPr>
        <w:t xml:space="preserve">for </w:t>
      </w:r>
      <w:r w:rsidR="008D25E1">
        <w:rPr>
          <w:rFonts w:ascii="Lucida Sans Unicode" w:hAnsi="Lucida Sans Unicode" w:cs="Lucida Sans Unicode"/>
          <w:b/>
          <w:color w:val="000080"/>
          <w:sz w:val="56"/>
          <w:szCs w:val="56"/>
        </w:rPr>
        <w:t>Select</w:t>
      </w:r>
      <w:r w:rsidR="00CD781D">
        <w:rPr>
          <w:rFonts w:ascii="Lucida Sans Unicode" w:hAnsi="Lucida Sans Unicode" w:cs="Lucida Sans Unicode"/>
          <w:b/>
          <w:color w:val="000080"/>
          <w:sz w:val="56"/>
          <w:szCs w:val="56"/>
        </w:rPr>
        <w:t xml:space="preserve"> Planning Activities</w:t>
      </w:r>
    </w:p>
    <w:p w14:paraId="4A853965" w14:textId="6DF61BDA" w:rsidR="00690660" w:rsidRDefault="00B56FEA" w:rsidP="001C4561">
      <w:pPr>
        <w:tabs>
          <w:tab w:val="center" w:pos="4680"/>
        </w:tabs>
        <w:suppressAutoHyphens/>
        <w:jc w:val="center"/>
        <w:rPr>
          <w:rFonts w:ascii="Lucida Sans Unicode" w:hAnsi="Lucida Sans Unicode" w:cs="Lucida Sans Unicode"/>
          <w:b/>
          <w:color w:val="000080"/>
          <w:spacing w:val="-4"/>
          <w:sz w:val="56"/>
          <w:szCs w:val="56"/>
        </w:rPr>
      </w:pPr>
      <w:r>
        <w:rPr>
          <w:rFonts w:ascii="Lucida Sans Unicode" w:hAnsi="Lucida Sans Unicode" w:cs="Lucida Sans Unicode"/>
          <w:b/>
          <w:color w:val="000080"/>
          <w:sz w:val="56"/>
          <w:szCs w:val="56"/>
        </w:rPr>
        <w:t xml:space="preserve">Section 5303 </w:t>
      </w:r>
      <w:r w:rsidR="00A64161">
        <w:rPr>
          <w:rFonts w:ascii="Lucida Sans Unicode" w:hAnsi="Lucida Sans Unicode" w:cs="Lucida Sans Unicode"/>
          <w:b/>
          <w:color w:val="000080"/>
          <w:sz w:val="56"/>
          <w:szCs w:val="56"/>
        </w:rPr>
        <w:t>Planning Funds</w:t>
      </w:r>
    </w:p>
    <w:p w14:paraId="179F85D6" w14:textId="77777777" w:rsidR="001C4561" w:rsidRDefault="001C4561" w:rsidP="001C4561">
      <w:pPr>
        <w:tabs>
          <w:tab w:val="center" w:pos="4680"/>
        </w:tabs>
        <w:suppressAutoHyphens/>
        <w:jc w:val="center"/>
        <w:rPr>
          <w:rFonts w:ascii="Lucida Sans Unicode" w:hAnsi="Lucida Sans Unicode" w:cs="Lucida Sans Unicode"/>
          <w:b/>
          <w:color w:val="000080"/>
          <w:spacing w:val="-4"/>
          <w:sz w:val="28"/>
          <w:szCs w:val="28"/>
        </w:rPr>
      </w:pPr>
    </w:p>
    <w:p w14:paraId="226495FD" w14:textId="77777777" w:rsidR="00A64161" w:rsidRDefault="00A64161" w:rsidP="001C4561">
      <w:pPr>
        <w:tabs>
          <w:tab w:val="center" w:pos="4680"/>
        </w:tabs>
        <w:suppressAutoHyphens/>
        <w:jc w:val="center"/>
        <w:rPr>
          <w:rFonts w:ascii="Lucida Sans Unicode" w:hAnsi="Lucida Sans Unicode" w:cs="Lucida Sans Unicode"/>
          <w:b/>
          <w:color w:val="000080"/>
          <w:spacing w:val="-4"/>
          <w:sz w:val="28"/>
          <w:szCs w:val="28"/>
        </w:rPr>
      </w:pPr>
    </w:p>
    <w:p w14:paraId="72A075C4" w14:textId="77777777" w:rsidR="00A64161" w:rsidRDefault="00A64161" w:rsidP="001C4561">
      <w:pPr>
        <w:tabs>
          <w:tab w:val="center" w:pos="4680"/>
        </w:tabs>
        <w:suppressAutoHyphens/>
        <w:jc w:val="center"/>
        <w:rPr>
          <w:rFonts w:ascii="Lucida Sans Unicode" w:hAnsi="Lucida Sans Unicode" w:cs="Lucida Sans Unicode"/>
          <w:b/>
          <w:color w:val="000080"/>
          <w:spacing w:val="-4"/>
          <w:sz w:val="28"/>
          <w:szCs w:val="28"/>
        </w:rPr>
      </w:pPr>
    </w:p>
    <w:p w14:paraId="5DDE0DE6" w14:textId="77777777" w:rsidR="001C4561" w:rsidRDefault="001C4561" w:rsidP="001C4561">
      <w:pPr>
        <w:tabs>
          <w:tab w:val="center" w:pos="4680"/>
        </w:tabs>
        <w:suppressAutoHyphens/>
        <w:jc w:val="center"/>
        <w:rPr>
          <w:rFonts w:ascii="Lucida Sans Unicode" w:hAnsi="Lucida Sans Unicode" w:cs="Lucida Sans Unicode"/>
          <w:b/>
          <w:color w:val="000080"/>
          <w:spacing w:val="-4"/>
          <w:sz w:val="28"/>
          <w:szCs w:val="28"/>
        </w:rPr>
      </w:pPr>
    </w:p>
    <w:p w14:paraId="2AC8225F" w14:textId="77777777" w:rsidR="001C4561" w:rsidRDefault="001C4561" w:rsidP="001C4561">
      <w:pPr>
        <w:tabs>
          <w:tab w:val="center" w:pos="4680"/>
        </w:tabs>
        <w:suppressAutoHyphens/>
        <w:jc w:val="right"/>
        <w:rPr>
          <w:rFonts w:ascii="Palatino Linotype" w:hAnsi="Palatino Linotype" w:cs="Lucida Sans Unicode"/>
          <w:b/>
          <w:spacing w:val="-3"/>
        </w:rPr>
      </w:pPr>
      <w:r>
        <w:rPr>
          <w:rFonts w:ascii="Palatino Linotype" w:hAnsi="Palatino Linotype" w:cs="Lucida Sans Unicode"/>
          <w:b/>
          <w:spacing w:val="-3"/>
        </w:rPr>
        <w:t>North Carolina Department of Transportation</w:t>
      </w:r>
    </w:p>
    <w:p w14:paraId="5ADB6CFA" w14:textId="77777777" w:rsidR="001C4561" w:rsidRDefault="001C4561" w:rsidP="001C4561">
      <w:pPr>
        <w:tabs>
          <w:tab w:val="left" w:pos="0"/>
        </w:tabs>
        <w:suppressAutoHyphens/>
        <w:jc w:val="right"/>
        <w:rPr>
          <w:rFonts w:ascii="Palatino Linotype" w:hAnsi="Palatino Linotype" w:cs="Lucida Sans Unicode"/>
          <w:b/>
        </w:rPr>
      </w:pPr>
      <w:r>
        <w:rPr>
          <w:rFonts w:ascii="Palatino Linotype" w:hAnsi="Palatino Linotype" w:cs="Lucida Sans Unicode"/>
          <w:b/>
        </w:rPr>
        <w:t>Integrated Mobility Division</w:t>
      </w:r>
    </w:p>
    <w:p w14:paraId="41D7BB4C" w14:textId="0EFB8537" w:rsidR="00D92079" w:rsidRDefault="00797A49" w:rsidP="001C4561">
      <w:pPr>
        <w:tabs>
          <w:tab w:val="center" w:pos="4680"/>
        </w:tabs>
        <w:suppressAutoHyphens/>
        <w:spacing w:line="227" w:lineRule="auto"/>
        <w:jc w:val="right"/>
        <w:rPr>
          <w:rFonts w:ascii="Palatino Linotype" w:hAnsi="Palatino Linotype" w:cs="Lucida Sans Unicode"/>
          <w:b/>
        </w:rPr>
      </w:pPr>
      <w:r>
        <w:rPr>
          <w:rFonts w:ascii="Palatino Linotype" w:hAnsi="Palatino Linotype" w:cs="Lucida Sans Unicode"/>
          <w:b/>
        </w:rPr>
        <w:t>November 20, 205</w:t>
      </w:r>
    </w:p>
    <w:p w14:paraId="2BD718B4" w14:textId="77777777" w:rsidR="00D92079" w:rsidRDefault="00D92079">
      <w:pPr>
        <w:spacing w:after="160" w:line="259" w:lineRule="auto"/>
        <w:rPr>
          <w:rFonts w:ascii="Palatino Linotype" w:hAnsi="Palatino Linotype" w:cs="Lucida Sans Unicode"/>
          <w:b/>
        </w:rPr>
      </w:pPr>
      <w:r>
        <w:rPr>
          <w:rFonts w:ascii="Palatino Linotype" w:hAnsi="Palatino Linotype" w:cs="Lucida Sans Unicode"/>
          <w:b/>
        </w:rPr>
        <w:br w:type="page"/>
      </w:r>
    </w:p>
    <w:p w14:paraId="4A00A43C" w14:textId="797A0644" w:rsidR="001C4561" w:rsidRDefault="001C4561" w:rsidP="001C4561">
      <w:pPr>
        <w:tabs>
          <w:tab w:val="center" w:pos="4680"/>
        </w:tabs>
        <w:suppressAutoHyphens/>
        <w:spacing w:line="227" w:lineRule="auto"/>
        <w:jc w:val="right"/>
        <w:rPr>
          <w:rFonts w:ascii="Palatino Linotype" w:hAnsi="Palatino Linotype" w:cs="Lucida Sans Unicode"/>
          <w:b/>
          <w:bCs/>
          <w:color w:val="000080"/>
          <w:sz w:val="32"/>
          <w:szCs w:val="32"/>
        </w:rPr>
      </w:pPr>
      <w:r>
        <w:rPr>
          <w:rFonts w:ascii="Palatino Linotype" w:hAnsi="Palatino Linotype" w:cs="Lucida Sans Unicode"/>
          <w:b/>
          <w:bCs/>
          <w:color w:val="000080"/>
          <w:sz w:val="32"/>
          <w:szCs w:val="32"/>
        </w:rPr>
        <w:lastRenderedPageBreak/>
        <w:t xml:space="preserve">Introduction </w:t>
      </w:r>
    </w:p>
    <w:p w14:paraId="15A96293" w14:textId="594F4966" w:rsidR="001C4561" w:rsidRDefault="00841A8D" w:rsidP="001C4561">
      <w:pPr>
        <w:tabs>
          <w:tab w:val="center" w:pos="4680"/>
        </w:tabs>
        <w:suppressAutoHyphens/>
        <w:spacing w:line="227" w:lineRule="auto"/>
        <w:jc w:val="center"/>
        <w:rPr>
          <w:rFonts w:ascii="Palatino Linotype" w:hAnsi="Palatino Linotype" w:cs="Lucida Sans Unicode"/>
          <w:b/>
          <w:bCs/>
          <w:color w:val="000080"/>
          <w:sz w:val="16"/>
          <w:szCs w:val="16"/>
        </w:rPr>
      </w:pPr>
      <w:r>
        <w:rPr>
          <w:rFonts w:ascii="Palatino Linotype" w:hAnsi="Palatino Linotype" w:cs="Lucida Sans Unicode"/>
          <w:noProof/>
          <w:sz w:val="22"/>
          <w:szCs w:val="22"/>
        </w:rPr>
        <mc:AlternateContent>
          <mc:Choice Requires="wps">
            <w:drawing>
              <wp:anchor distT="0" distB="0" distL="114300" distR="114300" simplePos="0" relativeHeight="251658240" behindDoc="0" locked="0" layoutInCell="1" allowOverlap="1" wp14:anchorId="53376837" wp14:editId="6B065575">
                <wp:simplePos x="0" y="0"/>
                <wp:positionH relativeFrom="column">
                  <wp:posOffset>-101600</wp:posOffset>
                </wp:positionH>
                <wp:positionV relativeFrom="paragraph">
                  <wp:posOffset>55718</wp:posOffset>
                </wp:positionV>
                <wp:extent cx="6181090" cy="0"/>
                <wp:effectExtent l="0" t="19050" r="29210" b="19050"/>
                <wp:wrapNone/>
                <wp:docPr id="16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C49FA" id="Line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pt,4.4pt" to="478.7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" strokecolor="#960" strokeweight="3pt">
                <v:stroke linestyle="thinThin"/>
              </v:line>
            </w:pict>
          </mc:Fallback>
        </mc:AlternateContent>
      </w:r>
    </w:p>
    <w:p w14:paraId="7816D0CC" w14:textId="1EB93F21" w:rsidR="00414F74" w:rsidRDefault="00FA6695" w:rsidP="001C4561">
      <w:pPr>
        <w:spacing w:after="100" w:afterAutospacing="1"/>
        <w:rPr>
          <w:rFonts w:ascii="Palatino Linotype" w:hAnsi="Palatino Linotype"/>
          <w:bCs/>
          <w:sz w:val="22"/>
          <w:szCs w:val="22"/>
        </w:rPr>
      </w:pPr>
      <w:r w:rsidRPr="0044552B">
        <w:rPr>
          <w:rFonts w:ascii="Palatino Linotype" w:hAnsi="Palatino Linotype"/>
          <w:bCs/>
          <w:sz w:val="22"/>
          <w:szCs w:val="22"/>
        </w:rPr>
        <w:t xml:space="preserve">The Integrated Mobility Division </w:t>
      </w:r>
      <w:r w:rsidR="00DD5046" w:rsidRPr="0044552B">
        <w:rPr>
          <w:rFonts w:ascii="Palatino Linotype" w:hAnsi="Palatino Linotype"/>
          <w:bCs/>
          <w:sz w:val="22"/>
          <w:szCs w:val="22"/>
        </w:rPr>
        <w:t xml:space="preserve">(IMD) </w:t>
      </w:r>
      <w:r w:rsidR="00587E67">
        <w:rPr>
          <w:rFonts w:ascii="Palatino Linotype" w:hAnsi="Palatino Linotype"/>
          <w:bCs/>
          <w:sz w:val="22"/>
          <w:szCs w:val="22"/>
        </w:rPr>
        <w:t>has</w:t>
      </w:r>
      <w:r w:rsidR="002909A3">
        <w:rPr>
          <w:rFonts w:ascii="Palatino Linotype" w:hAnsi="Palatino Linotype"/>
          <w:bCs/>
          <w:sz w:val="22"/>
          <w:szCs w:val="22"/>
        </w:rPr>
        <w:t xml:space="preserve"> creat</w:t>
      </w:r>
      <w:r w:rsidR="00587E67">
        <w:rPr>
          <w:rFonts w:ascii="Palatino Linotype" w:hAnsi="Palatino Linotype"/>
          <w:bCs/>
          <w:sz w:val="22"/>
          <w:szCs w:val="22"/>
        </w:rPr>
        <w:t>ed</w:t>
      </w:r>
      <w:r w:rsidR="002909A3">
        <w:rPr>
          <w:rFonts w:ascii="Palatino Linotype" w:hAnsi="Palatino Linotype"/>
          <w:bCs/>
          <w:sz w:val="22"/>
          <w:szCs w:val="22"/>
        </w:rPr>
        <w:t xml:space="preserve"> and issu</w:t>
      </w:r>
      <w:r w:rsidR="00587E67">
        <w:rPr>
          <w:rFonts w:ascii="Palatino Linotype" w:hAnsi="Palatino Linotype"/>
          <w:bCs/>
          <w:sz w:val="22"/>
          <w:szCs w:val="22"/>
        </w:rPr>
        <w:t>ed</w:t>
      </w:r>
      <w:r w:rsidR="002909A3">
        <w:rPr>
          <w:rFonts w:ascii="Palatino Linotype" w:hAnsi="Palatino Linotype"/>
          <w:bCs/>
          <w:sz w:val="22"/>
          <w:szCs w:val="22"/>
        </w:rPr>
        <w:t xml:space="preserve"> this guidance </w:t>
      </w:r>
      <w:r w:rsidR="00587E67">
        <w:rPr>
          <w:rFonts w:ascii="Palatino Linotype" w:hAnsi="Palatino Linotype"/>
          <w:bCs/>
          <w:sz w:val="22"/>
          <w:szCs w:val="22"/>
        </w:rPr>
        <w:t xml:space="preserve">for the use of </w:t>
      </w:r>
      <w:r w:rsidR="008F006F">
        <w:rPr>
          <w:rFonts w:ascii="Palatino Linotype" w:hAnsi="Palatino Linotype"/>
          <w:bCs/>
          <w:sz w:val="22"/>
          <w:szCs w:val="22"/>
        </w:rPr>
        <w:t xml:space="preserve">transit </w:t>
      </w:r>
      <w:r w:rsidR="00587E67">
        <w:rPr>
          <w:rFonts w:ascii="Palatino Linotype" w:hAnsi="Palatino Linotype"/>
          <w:bCs/>
          <w:sz w:val="22"/>
          <w:szCs w:val="22"/>
        </w:rPr>
        <w:t>a</w:t>
      </w:r>
      <w:r w:rsidR="0039204D">
        <w:rPr>
          <w:rFonts w:ascii="Palatino Linotype" w:hAnsi="Palatino Linotype"/>
          <w:bCs/>
          <w:sz w:val="22"/>
          <w:szCs w:val="22"/>
        </w:rPr>
        <w:t>gencies</w:t>
      </w:r>
      <w:r w:rsidR="002F571B">
        <w:rPr>
          <w:rFonts w:ascii="Palatino Linotype" w:hAnsi="Palatino Linotype"/>
          <w:bCs/>
          <w:sz w:val="22"/>
          <w:szCs w:val="22"/>
        </w:rPr>
        <w:t>,</w:t>
      </w:r>
      <w:r w:rsidR="008F006F">
        <w:rPr>
          <w:rFonts w:ascii="Palatino Linotype" w:hAnsi="Palatino Linotype"/>
          <w:bCs/>
          <w:sz w:val="22"/>
          <w:szCs w:val="22"/>
        </w:rPr>
        <w:t xml:space="preserve"> Metropolitan Planning Organizations (MPO) and local governments</w:t>
      </w:r>
      <w:r w:rsidR="0039204D">
        <w:rPr>
          <w:rFonts w:ascii="Palatino Linotype" w:hAnsi="Palatino Linotype"/>
          <w:bCs/>
          <w:sz w:val="22"/>
          <w:szCs w:val="22"/>
        </w:rPr>
        <w:t xml:space="preserve"> </w:t>
      </w:r>
      <w:r w:rsidR="001D5BB8">
        <w:rPr>
          <w:rFonts w:ascii="Palatino Linotype" w:hAnsi="Palatino Linotype"/>
          <w:bCs/>
          <w:sz w:val="22"/>
          <w:szCs w:val="22"/>
        </w:rPr>
        <w:t xml:space="preserve">to best leverage </w:t>
      </w:r>
      <w:r w:rsidR="00AF5222">
        <w:rPr>
          <w:rFonts w:ascii="Palatino Linotype" w:hAnsi="Palatino Linotype"/>
          <w:bCs/>
          <w:sz w:val="22"/>
          <w:szCs w:val="22"/>
        </w:rPr>
        <w:t xml:space="preserve">federal funding for </w:t>
      </w:r>
      <w:r w:rsidR="00C7723D">
        <w:rPr>
          <w:rFonts w:ascii="Palatino Linotype" w:hAnsi="Palatino Linotype"/>
          <w:bCs/>
          <w:sz w:val="22"/>
          <w:szCs w:val="22"/>
        </w:rPr>
        <w:t xml:space="preserve">transportation </w:t>
      </w:r>
      <w:r w:rsidR="00AF5222">
        <w:rPr>
          <w:rFonts w:ascii="Palatino Linotype" w:hAnsi="Palatino Linotype"/>
          <w:bCs/>
          <w:sz w:val="22"/>
          <w:szCs w:val="22"/>
        </w:rPr>
        <w:t xml:space="preserve">planning purposes.  This </w:t>
      </w:r>
      <w:proofErr w:type="gramStart"/>
      <w:r w:rsidR="000823DF">
        <w:rPr>
          <w:rFonts w:ascii="Palatino Linotype" w:hAnsi="Palatino Linotype"/>
          <w:bCs/>
          <w:sz w:val="22"/>
          <w:szCs w:val="22"/>
        </w:rPr>
        <w:t>guidance</w:t>
      </w:r>
      <w:proofErr w:type="gramEnd"/>
      <w:r w:rsidR="000823DF">
        <w:rPr>
          <w:rFonts w:ascii="Palatino Linotype" w:hAnsi="Palatino Linotype"/>
          <w:bCs/>
          <w:sz w:val="22"/>
          <w:szCs w:val="22"/>
        </w:rPr>
        <w:t xml:space="preserve"> describes</w:t>
      </w:r>
      <w:r w:rsidR="00360EE1">
        <w:rPr>
          <w:rFonts w:ascii="Palatino Linotype" w:hAnsi="Palatino Linotype"/>
          <w:bCs/>
          <w:sz w:val="22"/>
          <w:szCs w:val="22"/>
        </w:rPr>
        <w:t>,</w:t>
      </w:r>
      <w:r w:rsidR="00D22754">
        <w:rPr>
          <w:rFonts w:ascii="Palatino Linotype" w:hAnsi="Palatino Linotype"/>
          <w:bCs/>
          <w:sz w:val="22"/>
          <w:szCs w:val="22"/>
        </w:rPr>
        <w:t xml:space="preserve"> in detail</w:t>
      </w:r>
      <w:r w:rsidR="00360EE1">
        <w:rPr>
          <w:rFonts w:ascii="Palatino Linotype" w:hAnsi="Palatino Linotype"/>
          <w:bCs/>
          <w:sz w:val="22"/>
          <w:szCs w:val="22"/>
        </w:rPr>
        <w:t>,</w:t>
      </w:r>
      <w:r w:rsidR="000823DF">
        <w:rPr>
          <w:rFonts w:ascii="Palatino Linotype" w:hAnsi="Palatino Linotype"/>
          <w:bCs/>
          <w:sz w:val="22"/>
          <w:szCs w:val="22"/>
        </w:rPr>
        <w:t xml:space="preserve"> two separate current federal waivers that allow </w:t>
      </w:r>
      <w:r w:rsidR="009376C6">
        <w:rPr>
          <w:rFonts w:ascii="Palatino Linotype" w:hAnsi="Palatino Linotype"/>
          <w:bCs/>
          <w:sz w:val="22"/>
          <w:szCs w:val="22"/>
        </w:rPr>
        <w:t xml:space="preserve">a higher federal match percentage </w:t>
      </w:r>
      <w:r w:rsidR="00833BAB">
        <w:rPr>
          <w:rFonts w:ascii="Palatino Linotype" w:hAnsi="Palatino Linotype"/>
          <w:bCs/>
          <w:sz w:val="22"/>
          <w:szCs w:val="22"/>
        </w:rPr>
        <w:t>for certain eligible planning activities</w:t>
      </w:r>
      <w:r w:rsidR="00281349">
        <w:rPr>
          <w:rFonts w:ascii="Palatino Linotype" w:hAnsi="Palatino Linotype"/>
          <w:bCs/>
          <w:sz w:val="22"/>
          <w:szCs w:val="22"/>
        </w:rPr>
        <w:t xml:space="preserve"> </w:t>
      </w:r>
      <w:r w:rsidR="00281349" w:rsidRPr="00BB04F0">
        <w:rPr>
          <w:rFonts w:ascii="Palatino Linotype" w:hAnsi="Palatino Linotype"/>
          <w:bCs/>
          <w:sz w:val="22"/>
          <w:szCs w:val="22"/>
        </w:rPr>
        <w:t xml:space="preserve">at a higher match compared to the traditional match percentages </w:t>
      </w:r>
      <w:r w:rsidR="004E60FB" w:rsidRPr="00BB04F0">
        <w:rPr>
          <w:rFonts w:ascii="Palatino Linotype" w:hAnsi="Palatino Linotype"/>
          <w:bCs/>
          <w:sz w:val="22"/>
          <w:szCs w:val="22"/>
        </w:rPr>
        <w:t>for the Section 5303 program</w:t>
      </w:r>
      <w:r w:rsidR="00833BAB">
        <w:rPr>
          <w:rFonts w:ascii="Palatino Linotype" w:hAnsi="Palatino Linotype"/>
          <w:bCs/>
          <w:sz w:val="22"/>
          <w:szCs w:val="22"/>
        </w:rPr>
        <w:t xml:space="preserve">. </w:t>
      </w:r>
      <w:r w:rsidR="00E72BFD" w:rsidRPr="00BB04F0">
        <w:rPr>
          <w:rFonts w:ascii="Palatino Linotype" w:hAnsi="Palatino Linotype"/>
          <w:bCs/>
          <w:sz w:val="22"/>
          <w:szCs w:val="22"/>
        </w:rPr>
        <w:t xml:space="preserve">This guidance is being issued in accordance with </w:t>
      </w:r>
      <w:r w:rsidR="00F03D5A" w:rsidRPr="00BB04F0">
        <w:rPr>
          <w:rFonts w:ascii="Palatino Linotype" w:hAnsi="Palatino Linotype"/>
          <w:bCs/>
          <w:sz w:val="22"/>
          <w:szCs w:val="22"/>
        </w:rPr>
        <w:t xml:space="preserve">new </w:t>
      </w:r>
      <w:r w:rsidR="005E41FA" w:rsidRPr="00BB04F0">
        <w:rPr>
          <w:rFonts w:ascii="Palatino Linotype" w:hAnsi="Palatino Linotype"/>
          <w:bCs/>
          <w:sz w:val="22"/>
          <w:szCs w:val="22"/>
        </w:rPr>
        <w:t>information from FTA for 49 USC</w:t>
      </w:r>
      <w:r w:rsidR="00F462C7" w:rsidRPr="00BB04F0">
        <w:rPr>
          <w:rFonts w:ascii="Palatino Linotype" w:hAnsi="Palatino Linotype"/>
          <w:bCs/>
          <w:sz w:val="22"/>
          <w:szCs w:val="22"/>
        </w:rPr>
        <w:t xml:space="preserve"> 5305. </w:t>
      </w:r>
      <w:r w:rsidR="0007653E" w:rsidRPr="00BB04F0">
        <w:rPr>
          <w:rFonts w:ascii="Palatino Linotype" w:hAnsi="Palatino Linotype"/>
          <w:bCs/>
          <w:sz w:val="22"/>
          <w:szCs w:val="22"/>
        </w:rPr>
        <w:t xml:space="preserve">This document </w:t>
      </w:r>
      <w:r w:rsidR="00AD2092" w:rsidRPr="00BB04F0">
        <w:rPr>
          <w:rFonts w:ascii="Palatino Linotype" w:hAnsi="Palatino Linotype"/>
          <w:bCs/>
          <w:sz w:val="22"/>
          <w:szCs w:val="22"/>
        </w:rPr>
        <w:t>will</w:t>
      </w:r>
      <w:r w:rsidR="0007653E" w:rsidRPr="00BB04F0">
        <w:rPr>
          <w:rFonts w:ascii="Palatino Linotype" w:hAnsi="Palatino Linotype"/>
          <w:bCs/>
          <w:sz w:val="22"/>
          <w:szCs w:val="22"/>
        </w:rPr>
        <w:t xml:space="preserve"> not replace the traditional Section 5303 guidance, also </w:t>
      </w:r>
      <w:r w:rsidR="00281349" w:rsidRPr="00BB04F0">
        <w:rPr>
          <w:rFonts w:ascii="Palatino Linotype" w:hAnsi="Palatino Linotype"/>
          <w:bCs/>
          <w:sz w:val="22"/>
          <w:szCs w:val="22"/>
        </w:rPr>
        <w:t xml:space="preserve">being </w:t>
      </w:r>
      <w:r w:rsidR="0007653E" w:rsidRPr="00BB04F0">
        <w:rPr>
          <w:rFonts w:ascii="Palatino Linotype" w:hAnsi="Palatino Linotype"/>
          <w:bCs/>
          <w:sz w:val="22"/>
          <w:szCs w:val="22"/>
        </w:rPr>
        <w:t xml:space="preserve">released </w:t>
      </w:r>
      <w:r w:rsidR="00D8020C" w:rsidRPr="00BB04F0">
        <w:rPr>
          <w:rFonts w:ascii="Palatino Linotype" w:hAnsi="Palatino Linotype"/>
          <w:bCs/>
          <w:sz w:val="22"/>
          <w:szCs w:val="22"/>
        </w:rPr>
        <w:t>o</w:t>
      </w:r>
      <w:r w:rsidR="0007653E" w:rsidRPr="00BB04F0">
        <w:rPr>
          <w:rFonts w:ascii="Palatino Linotype" w:hAnsi="Palatino Linotype"/>
          <w:bCs/>
          <w:sz w:val="22"/>
          <w:szCs w:val="22"/>
        </w:rPr>
        <w:t xml:space="preserve">n </w:t>
      </w:r>
      <w:r w:rsidR="00797A49">
        <w:rPr>
          <w:rFonts w:ascii="Palatino Linotype" w:hAnsi="Palatino Linotype"/>
          <w:bCs/>
          <w:sz w:val="22"/>
          <w:szCs w:val="22"/>
        </w:rPr>
        <w:t>November 20, 2025</w:t>
      </w:r>
      <w:r w:rsidR="004E60FB" w:rsidRPr="00BB04F0">
        <w:rPr>
          <w:rFonts w:ascii="Palatino Linotype" w:hAnsi="Palatino Linotype"/>
          <w:bCs/>
          <w:sz w:val="22"/>
          <w:szCs w:val="22"/>
        </w:rPr>
        <w:t>,</w:t>
      </w:r>
      <w:r w:rsidR="0007653E" w:rsidRPr="00BB04F0">
        <w:rPr>
          <w:rFonts w:ascii="Palatino Linotype" w:hAnsi="Palatino Linotype"/>
          <w:bCs/>
          <w:sz w:val="22"/>
          <w:szCs w:val="22"/>
        </w:rPr>
        <w:t xml:space="preserve"> by IMD. The traditional </w:t>
      </w:r>
      <w:r w:rsidR="00D8020C" w:rsidRPr="00BB04F0">
        <w:rPr>
          <w:rFonts w:ascii="Palatino Linotype" w:hAnsi="Palatino Linotype"/>
          <w:bCs/>
          <w:sz w:val="22"/>
          <w:szCs w:val="22"/>
        </w:rPr>
        <w:t xml:space="preserve">guidance assumes utilization of </w:t>
      </w:r>
      <w:proofErr w:type="gramStart"/>
      <w:r w:rsidR="00D8020C" w:rsidRPr="00BB04F0">
        <w:rPr>
          <w:rFonts w:ascii="Palatino Linotype" w:hAnsi="Palatino Linotype"/>
          <w:bCs/>
          <w:sz w:val="22"/>
          <w:szCs w:val="22"/>
        </w:rPr>
        <w:t>the Section</w:t>
      </w:r>
      <w:proofErr w:type="gramEnd"/>
      <w:r w:rsidR="00D8020C" w:rsidRPr="00BB04F0">
        <w:rPr>
          <w:rFonts w:ascii="Palatino Linotype" w:hAnsi="Palatino Linotype"/>
          <w:bCs/>
          <w:sz w:val="22"/>
          <w:szCs w:val="22"/>
        </w:rPr>
        <w:t xml:space="preserve"> 5303 funds at the typical 80% federal, 10% state and 10% local match percentages. </w:t>
      </w:r>
    </w:p>
    <w:p w14:paraId="386B25E8" w14:textId="781DD4CA" w:rsidR="00BD1EA2" w:rsidRDefault="008E7AB4" w:rsidP="001C4561">
      <w:pPr>
        <w:spacing w:after="100" w:afterAutospacing="1"/>
        <w:rPr>
          <w:rFonts w:ascii="Palatino Linotype" w:hAnsi="Palatino Linotype"/>
          <w:bCs/>
          <w:sz w:val="22"/>
          <w:szCs w:val="22"/>
        </w:rPr>
      </w:pPr>
      <w:r>
        <w:rPr>
          <w:rFonts w:ascii="Palatino Linotype" w:hAnsi="Palatino Linotype"/>
          <w:bCs/>
          <w:sz w:val="22"/>
          <w:szCs w:val="22"/>
        </w:rPr>
        <w:t xml:space="preserve">The two waivers </w:t>
      </w:r>
      <w:r w:rsidR="007A10BE">
        <w:rPr>
          <w:rFonts w:ascii="Palatino Linotype" w:hAnsi="Palatino Linotype"/>
          <w:bCs/>
          <w:sz w:val="22"/>
          <w:szCs w:val="22"/>
        </w:rPr>
        <w:t>are listed below:</w:t>
      </w:r>
    </w:p>
    <w:p w14:paraId="0D7A4429" w14:textId="5F052C0E" w:rsidR="00F249BC" w:rsidRDefault="00C372EC" w:rsidP="001C4561">
      <w:pPr>
        <w:pStyle w:val="ListParagraph"/>
        <w:numPr>
          <w:ilvl w:val="0"/>
          <w:numId w:val="22"/>
        </w:numPr>
        <w:spacing w:after="100" w:afterAutospacing="1"/>
        <w:rPr>
          <w:rFonts w:ascii="Palatino Linotype" w:hAnsi="Palatino Linotype"/>
          <w:bCs/>
          <w:sz w:val="22"/>
          <w:szCs w:val="22"/>
        </w:rPr>
      </w:pPr>
      <w:r w:rsidRPr="00C372EC">
        <w:rPr>
          <w:rFonts w:ascii="Palatino Linotype" w:hAnsi="Palatino Linotype"/>
          <w:bCs/>
          <w:sz w:val="22"/>
          <w:szCs w:val="22"/>
          <w:u w:val="single"/>
        </w:rPr>
        <w:t>Complete Streets</w:t>
      </w:r>
      <w:r>
        <w:rPr>
          <w:rFonts w:ascii="Palatino Linotype" w:hAnsi="Palatino Linotype"/>
          <w:bCs/>
          <w:sz w:val="22"/>
          <w:szCs w:val="22"/>
        </w:rPr>
        <w:t xml:space="preserve"> </w:t>
      </w:r>
      <w:r w:rsidR="00A44DC6">
        <w:rPr>
          <w:rFonts w:ascii="Palatino Linotype" w:hAnsi="Palatino Linotype"/>
          <w:bCs/>
          <w:sz w:val="22"/>
          <w:szCs w:val="22"/>
        </w:rPr>
        <w:t>–</w:t>
      </w:r>
      <w:r>
        <w:rPr>
          <w:rFonts w:ascii="Palatino Linotype" w:hAnsi="Palatino Linotype"/>
          <w:bCs/>
          <w:sz w:val="22"/>
          <w:szCs w:val="22"/>
        </w:rPr>
        <w:t xml:space="preserve"> </w:t>
      </w:r>
      <w:r w:rsidR="00A44DC6">
        <w:rPr>
          <w:rFonts w:ascii="Palatino Linotype" w:hAnsi="Palatino Linotype"/>
          <w:bCs/>
          <w:sz w:val="22"/>
          <w:szCs w:val="22"/>
        </w:rPr>
        <w:t xml:space="preserve">Planning </w:t>
      </w:r>
      <w:r w:rsidR="00BD1EA2" w:rsidRPr="00BD1EA2">
        <w:rPr>
          <w:rFonts w:ascii="Palatino Linotype" w:hAnsi="Palatino Linotype"/>
          <w:bCs/>
          <w:sz w:val="22"/>
          <w:szCs w:val="22"/>
        </w:rPr>
        <w:t xml:space="preserve">activities </w:t>
      </w:r>
      <w:r w:rsidR="00A44DC6">
        <w:rPr>
          <w:rFonts w:ascii="Palatino Linotype" w:hAnsi="Palatino Linotype"/>
          <w:bCs/>
          <w:sz w:val="22"/>
          <w:szCs w:val="22"/>
        </w:rPr>
        <w:t xml:space="preserve">for </w:t>
      </w:r>
      <w:r w:rsidR="00BD1EA2" w:rsidRPr="00BD1EA2">
        <w:rPr>
          <w:rFonts w:ascii="Palatino Linotype" w:hAnsi="Palatino Linotype"/>
          <w:bCs/>
          <w:sz w:val="22"/>
          <w:szCs w:val="22"/>
        </w:rPr>
        <w:t>Complete Streets</w:t>
      </w:r>
      <w:r w:rsidR="00392DA8">
        <w:rPr>
          <w:rFonts w:ascii="Palatino Linotype" w:hAnsi="Palatino Linotype"/>
          <w:bCs/>
          <w:sz w:val="22"/>
          <w:szCs w:val="22"/>
        </w:rPr>
        <w:t xml:space="preserve">. </w:t>
      </w:r>
      <w:r w:rsidR="006065BA">
        <w:rPr>
          <w:rFonts w:ascii="Palatino Linotype" w:hAnsi="Palatino Linotype"/>
          <w:bCs/>
          <w:sz w:val="22"/>
          <w:szCs w:val="22"/>
        </w:rPr>
        <w:t>These planning activities are eligible for a f</w:t>
      </w:r>
      <w:r w:rsidR="00392DA8">
        <w:rPr>
          <w:rFonts w:ascii="Palatino Linotype" w:hAnsi="Palatino Linotype"/>
          <w:bCs/>
          <w:sz w:val="22"/>
          <w:szCs w:val="22"/>
        </w:rPr>
        <w:t xml:space="preserve">ederal match percentage </w:t>
      </w:r>
      <w:r w:rsidR="00F8542D">
        <w:rPr>
          <w:rFonts w:ascii="Palatino Linotype" w:hAnsi="Palatino Linotype"/>
          <w:bCs/>
          <w:sz w:val="22"/>
          <w:szCs w:val="22"/>
        </w:rPr>
        <w:t xml:space="preserve">of </w:t>
      </w:r>
      <w:r w:rsidR="00392DA8">
        <w:rPr>
          <w:rFonts w:ascii="Palatino Linotype" w:hAnsi="Palatino Linotype"/>
          <w:bCs/>
          <w:sz w:val="22"/>
          <w:szCs w:val="22"/>
        </w:rPr>
        <w:t xml:space="preserve">100% with no match from </w:t>
      </w:r>
      <w:r w:rsidR="006065BA">
        <w:rPr>
          <w:rFonts w:ascii="Palatino Linotype" w:hAnsi="Palatino Linotype"/>
          <w:bCs/>
          <w:sz w:val="22"/>
          <w:szCs w:val="22"/>
        </w:rPr>
        <w:t>the state</w:t>
      </w:r>
      <w:r w:rsidR="003A785C">
        <w:rPr>
          <w:rFonts w:ascii="Palatino Linotype" w:hAnsi="Palatino Linotype"/>
          <w:bCs/>
          <w:sz w:val="22"/>
          <w:szCs w:val="22"/>
        </w:rPr>
        <w:t xml:space="preserve"> or the local agency.</w:t>
      </w:r>
    </w:p>
    <w:p w14:paraId="27C9E6D5" w14:textId="0A978A7D" w:rsidR="00587E67" w:rsidRDefault="00F249BC" w:rsidP="001C4561">
      <w:pPr>
        <w:pStyle w:val="ListParagraph"/>
        <w:numPr>
          <w:ilvl w:val="0"/>
          <w:numId w:val="22"/>
        </w:numPr>
        <w:spacing w:after="100" w:afterAutospacing="1"/>
        <w:rPr>
          <w:rFonts w:ascii="Palatino Linotype" w:hAnsi="Palatino Linotype"/>
          <w:bCs/>
          <w:sz w:val="22"/>
          <w:szCs w:val="22"/>
        </w:rPr>
      </w:pPr>
      <w:r w:rsidRPr="00C46817">
        <w:rPr>
          <w:rFonts w:ascii="Palatino Linotype" w:hAnsi="Palatino Linotype"/>
          <w:bCs/>
          <w:sz w:val="22"/>
          <w:szCs w:val="22"/>
          <w:u w:val="single"/>
        </w:rPr>
        <w:t>Increased</w:t>
      </w:r>
      <w:r w:rsidR="00C46817" w:rsidRPr="00C46817">
        <w:rPr>
          <w:rFonts w:ascii="Palatino Linotype" w:hAnsi="Palatino Linotype"/>
          <w:bCs/>
          <w:sz w:val="22"/>
          <w:szCs w:val="22"/>
          <w:u w:val="single"/>
        </w:rPr>
        <w:t xml:space="preserve"> federal share for lower population density or income</w:t>
      </w:r>
      <w:r w:rsidR="00C46817">
        <w:rPr>
          <w:rFonts w:ascii="Palatino Linotype" w:hAnsi="Palatino Linotype"/>
          <w:bCs/>
          <w:sz w:val="22"/>
          <w:szCs w:val="22"/>
        </w:rPr>
        <w:t xml:space="preserve"> - </w:t>
      </w:r>
      <w:r w:rsidRPr="00C46817">
        <w:rPr>
          <w:rFonts w:ascii="Palatino Linotype" w:hAnsi="Palatino Linotype"/>
          <w:bCs/>
          <w:sz w:val="22"/>
          <w:szCs w:val="22"/>
        </w:rPr>
        <w:t xml:space="preserve">FTA is increasing federal support of planning activities that help communities with lower population densities or lower average incomes, compared to surrounding areas, expand access to public transportation. </w:t>
      </w:r>
      <w:r w:rsidR="006065BA">
        <w:rPr>
          <w:rFonts w:ascii="Palatino Linotype" w:hAnsi="Palatino Linotype"/>
          <w:bCs/>
          <w:sz w:val="22"/>
          <w:szCs w:val="22"/>
        </w:rPr>
        <w:t>These planning activities are eligible for a 90% f</w:t>
      </w:r>
      <w:r w:rsidR="003A785C">
        <w:rPr>
          <w:rFonts w:ascii="Palatino Linotype" w:hAnsi="Palatino Linotype"/>
          <w:bCs/>
          <w:sz w:val="22"/>
          <w:szCs w:val="22"/>
        </w:rPr>
        <w:t xml:space="preserve">ederal match percentage </w:t>
      </w:r>
      <w:r w:rsidR="006065BA">
        <w:rPr>
          <w:rFonts w:ascii="Palatino Linotype" w:hAnsi="Palatino Linotype"/>
          <w:bCs/>
          <w:sz w:val="22"/>
          <w:szCs w:val="22"/>
        </w:rPr>
        <w:t>supported by</w:t>
      </w:r>
      <w:r w:rsidR="003A785C">
        <w:rPr>
          <w:rFonts w:ascii="Palatino Linotype" w:hAnsi="Palatino Linotype"/>
          <w:bCs/>
          <w:sz w:val="22"/>
          <w:szCs w:val="22"/>
        </w:rPr>
        <w:t xml:space="preserve"> a five percent state match an</w:t>
      </w:r>
      <w:r w:rsidR="006065BA">
        <w:rPr>
          <w:rFonts w:ascii="Palatino Linotype" w:hAnsi="Palatino Linotype"/>
          <w:bCs/>
          <w:sz w:val="22"/>
          <w:szCs w:val="22"/>
        </w:rPr>
        <w:t>d a five percent local match.</w:t>
      </w:r>
    </w:p>
    <w:p w14:paraId="11686D6F" w14:textId="2E71E272" w:rsidR="00C17C57" w:rsidRPr="00C17C57" w:rsidRDefault="00C17C57" w:rsidP="00C17C57">
      <w:pPr>
        <w:spacing w:after="100" w:afterAutospacing="1"/>
        <w:rPr>
          <w:rFonts w:ascii="Palatino Linotype" w:hAnsi="Palatino Linotype"/>
          <w:bCs/>
          <w:sz w:val="22"/>
          <w:szCs w:val="22"/>
        </w:rPr>
      </w:pPr>
      <w:r>
        <w:rPr>
          <w:rFonts w:ascii="Palatino Linotype" w:hAnsi="Palatino Linotype"/>
          <w:bCs/>
          <w:sz w:val="22"/>
          <w:szCs w:val="22"/>
        </w:rPr>
        <w:t xml:space="preserve">The following sections will describe </w:t>
      </w:r>
      <w:r w:rsidR="00C7723D">
        <w:rPr>
          <w:rFonts w:ascii="Palatino Linotype" w:hAnsi="Palatino Linotype"/>
          <w:bCs/>
          <w:sz w:val="22"/>
          <w:szCs w:val="22"/>
        </w:rPr>
        <w:t>both</w:t>
      </w:r>
      <w:r>
        <w:rPr>
          <w:rFonts w:ascii="Palatino Linotype" w:hAnsi="Palatino Linotype"/>
          <w:bCs/>
          <w:sz w:val="22"/>
          <w:szCs w:val="22"/>
        </w:rPr>
        <w:t xml:space="preserve"> waivers</w:t>
      </w:r>
      <w:r w:rsidR="00E1640D">
        <w:rPr>
          <w:rFonts w:ascii="Palatino Linotype" w:hAnsi="Palatino Linotype"/>
          <w:bCs/>
          <w:sz w:val="22"/>
          <w:szCs w:val="22"/>
        </w:rPr>
        <w:t>, their use, eligible activities and the federal</w:t>
      </w:r>
      <w:r w:rsidR="00C7723D">
        <w:rPr>
          <w:rFonts w:ascii="Palatino Linotype" w:hAnsi="Palatino Linotype"/>
          <w:bCs/>
          <w:sz w:val="22"/>
          <w:szCs w:val="22"/>
        </w:rPr>
        <w:t>, state</w:t>
      </w:r>
      <w:r w:rsidR="00E1640D">
        <w:rPr>
          <w:rFonts w:ascii="Palatino Linotype" w:hAnsi="Palatino Linotype"/>
          <w:bCs/>
          <w:sz w:val="22"/>
          <w:szCs w:val="22"/>
        </w:rPr>
        <w:t xml:space="preserve"> </w:t>
      </w:r>
      <w:r w:rsidR="00043A50">
        <w:rPr>
          <w:rFonts w:ascii="Palatino Linotype" w:hAnsi="Palatino Linotype"/>
          <w:bCs/>
          <w:sz w:val="22"/>
          <w:szCs w:val="22"/>
        </w:rPr>
        <w:t>and local match</w:t>
      </w:r>
      <w:r w:rsidR="00C7723D">
        <w:rPr>
          <w:rFonts w:ascii="Palatino Linotype" w:hAnsi="Palatino Linotype"/>
          <w:bCs/>
          <w:sz w:val="22"/>
          <w:szCs w:val="22"/>
        </w:rPr>
        <w:t xml:space="preserve"> percentages</w:t>
      </w:r>
      <w:r w:rsidR="00043A50">
        <w:rPr>
          <w:rFonts w:ascii="Palatino Linotype" w:hAnsi="Palatino Linotype"/>
          <w:bCs/>
          <w:sz w:val="22"/>
          <w:szCs w:val="22"/>
        </w:rPr>
        <w:t xml:space="preserve">. </w:t>
      </w:r>
    </w:p>
    <w:p w14:paraId="40A4DE52" w14:textId="540B0C83" w:rsidR="00360EE1" w:rsidRPr="00400767" w:rsidRDefault="00C17C57" w:rsidP="00400767">
      <w:pPr>
        <w:pStyle w:val="ListParagraph"/>
        <w:numPr>
          <w:ilvl w:val="0"/>
          <w:numId w:val="35"/>
        </w:numPr>
        <w:spacing w:after="100" w:afterAutospacing="1"/>
        <w:ind w:left="360"/>
        <w:rPr>
          <w:rFonts w:ascii="Palatino Linotype" w:hAnsi="Palatino Linotype"/>
          <w:b/>
          <w:color w:val="000066"/>
          <w:sz w:val="28"/>
        </w:rPr>
      </w:pPr>
      <w:r w:rsidRPr="00400767">
        <w:rPr>
          <w:rFonts w:ascii="Palatino Linotype" w:hAnsi="Palatino Linotype"/>
          <w:b/>
          <w:color w:val="000066"/>
          <w:sz w:val="28"/>
        </w:rPr>
        <w:t>Complete Streets Waiver</w:t>
      </w:r>
    </w:p>
    <w:p w14:paraId="330C4CF7" w14:textId="79000D7F" w:rsidR="00043A50" w:rsidRDefault="00400F18" w:rsidP="001C4561">
      <w:pPr>
        <w:spacing w:after="100" w:afterAutospacing="1"/>
        <w:rPr>
          <w:rFonts w:ascii="Palatino Linotype" w:hAnsi="Palatino Linotype"/>
          <w:bCs/>
          <w:sz w:val="22"/>
          <w:szCs w:val="22"/>
        </w:rPr>
      </w:pPr>
      <w:r>
        <w:rPr>
          <w:rFonts w:ascii="Palatino Linotype" w:hAnsi="Palatino Linotype"/>
          <w:bCs/>
          <w:sz w:val="22"/>
          <w:szCs w:val="22"/>
        </w:rPr>
        <w:t xml:space="preserve">This waiver </w:t>
      </w:r>
      <w:r w:rsidR="00AA1254">
        <w:rPr>
          <w:rFonts w:ascii="Palatino Linotype" w:hAnsi="Palatino Linotype"/>
          <w:bCs/>
          <w:sz w:val="22"/>
          <w:szCs w:val="22"/>
        </w:rPr>
        <w:t xml:space="preserve">supports </w:t>
      </w:r>
      <w:r w:rsidR="00FB27F3">
        <w:rPr>
          <w:rFonts w:ascii="Palatino Linotype" w:hAnsi="Palatino Linotype"/>
          <w:bCs/>
          <w:sz w:val="22"/>
          <w:szCs w:val="22"/>
        </w:rPr>
        <w:t xml:space="preserve">the inclusion </w:t>
      </w:r>
      <w:r w:rsidR="00327C64">
        <w:rPr>
          <w:rFonts w:ascii="Palatino Linotype" w:hAnsi="Palatino Linotype"/>
          <w:bCs/>
          <w:sz w:val="22"/>
          <w:szCs w:val="22"/>
        </w:rPr>
        <w:t>o</w:t>
      </w:r>
      <w:r w:rsidR="00FB27F3">
        <w:rPr>
          <w:rFonts w:ascii="Palatino Linotype" w:hAnsi="Palatino Linotype"/>
          <w:bCs/>
          <w:sz w:val="22"/>
          <w:szCs w:val="22"/>
        </w:rPr>
        <w:t>f</w:t>
      </w:r>
      <w:r w:rsidRPr="00400F18">
        <w:rPr>
          <w:rFonts w:ascii="Palatino Linotype" w:hAnsi="Palatino Linotype"/>
          <w:bCs/>
          <w:sz w:val="22"/>
          <w:szCs w:val="22"/>
        </w:rPr>
        <w:t xml:space="preserve"> Complete Streets planning activities</w:t>
      </w:r>
      <w:r w:rsidR="00327C64">
        <w:rPr>
          <w:rFonts w:ascii="Palatino Linotype" w:hAnsi="Palatino Linotype"/>
          <w:bCs/>
          <w:sz w:val="22"/>
          <w:szCs w:val="22"/>
        </w:rPr>
        <w:t xml:space="preserve"> that may be performed by an MPO</w:t>
      </w:r>
      <w:r w:rsidR="00AA0724">
        <w:rPr>
          <w:rFonts w:ascii="Palatino Linotype" w:hAnsi="Palatino Linotype"/>
          <w:bCs/>
          <w:sz w:val="22"/>
          <w:szCs w:val="22"/>
        </w:rPr>
        <w:t xml:space="preserve"> to support the individual jurisdictions within that geography</w:t>
      </w:r>
      <w:r w:rsidRPr="00400F18">
        <w:rPr>
          <w:rFonts w:ascii="Palatino Linotype" w:hAnsi="Palatino Linotype"/>
          <w:bCs/>
          <w:sz w:val="22"/>
          <w:szCs w:val="22"/>
        </w:rPr>
        <w:t>.</w:t>
      </w:r>
      <w:r w:rsidR="00DB2803">
        <w:rPr>
          <w:rFonts w:ascii="Palatino Linotype" w:hAnsi="Palatino Linotype"/>
          <w:bCs/>
          <w:sz w:val="22"/>
          <w:szCs w:val="22"/>
        </w:rPr>
        <w:t xml:space="preserve"> </w:t>
      </w:r>
      <w:r w:rsidR="00CB0919">
        <w:rPr>
          <w:rFonts w:ascii="Palatino Linotype" w:hAnsi="Palatino Linotype"/>
          <w:bCs/>
          <w:sz w:val="22"/>
          <w:szCs w:val="22"/>
        </w:rPr>
        <w:t xml:space="preserve">The waiver </w:t>
      </w:r>
      <w:r w:rsidR="007878FF">
        <w:rPr>
          <w:rFonts w:ascii="Palatino Linotype" w:hAnsi="Palatino Linotype"/>
          <w:bCs/>
          <w:sz w:val="22"/>
          <w:szCs w:val="22"/>
        </w:rPr>
        <w:t>supports the full consideration of public transportation in</w:t>
      </w:r>
      <w:r w:rsidR="002700D9">
        <w:rPr>
          <w:rFonts w:ascii="Palatino Linotype" w:hAnsi="Palatino Linotype"/>
          <w:bCs/>
          <w:sz w:val="22"/>
          <w:szCs w:val="22"/>
        </w:rPr>
        <w:t xml:space="preserve"> the development </w:t>
      </w:r>
      <w:r w:rsidR="007F5EB3">
        <w:rPr>
          <w:rFonts w:ascii="Palatino Linotype" w:hAnsi="Palatino Linotype"/>
          <w:bCs/>
          <w:sz w:val="22"/>
          <w:szCs w:val="22"/>
        </w:rPr>
        <w:t>and impl</w:t>
      </w:r>
      <w:r w:rsidR="003A10B5">
        <w:rPr>
          <w:rFonts w:ascii="Palatino Linotype" w:hAnsi="Palatino Linotype"/>
          <w:bCs/>
          <w:sz w:val="22"/>
          <w:szCs w:val="22"/>
        </w:rPr>
        <w:t xml:space="preserve">ementation of Complete Streets policies that require or encourage </w:t>
      </w:r>
      <w:r w:rsidR="00A00EAA">
        <w:rPr>
          <w:rFonts w:ascii="Palatino Linotype" w:hAnsi="Palatino Linotype"/>
          <w:bCs/>
          <w:sz w:val="22"/>
          <w:szCs w:val="22"/>
        </w:rPr>
        <w:t xml:space="preserve">a safe, comfortable, </w:t>
      </w:r>
      <w:r w:rsidR="00E70791">
        <w:rPr>
          <w:rFonts w:ascii="Palatino Linotype" w:hAnsi="Palatino Linotype"/>
          <w:bCs/>
          <w:sz w:val="22"/>
          <w:szCs w:val="22"/>
        </w:rPr>
        <w:t xml:space="preserve">integrated transportation network for all users, regardless of age, ability, income, ethnicity, or mode of transportation. </w:t>
      </w:r>
      <w:r w:rsidR="005A226E" w:rsidRPr="00142EBC">
        <w:rPr>
          <w:rFonts w:ascii="Palatino Linotype" w:hAnsi="Palatino Linotype"/>
          <w:bCs/>
          <w:i/>
          <w:iCs/>
          <w:sz w:val="22"/>
          <w:szCs w:val="22"/>
        </w:rPr>
        <w:t xml:space="preserve">Federal funds may be used to support up to 100% of the Complete Streets project cost with no </w:t>
      </w:r>
      <w:r w:rsidR="00504F3E" w:rsidRPr="00142EBC">
        <w:rPr>
          <w:rFonts w:ascii="Palatino Linotype" w:hAnsi="Palatino Linotype"/>
          <w:bCs/>
          <w:i/>
          <w:iCs/>
          <w:sz w:val="22"/>
          <w:szCs w:val="22"/>
        </w:rPr>
        <w:t xml:space="preserve">state or </w:t>
      </w:r>
      <w:r w:rsidR="005A226E" w:rsidRPr="00142EBC">
        <w:rPr>
          <w:rFonts w:ascii="Palatino Linotype" w:hAnsi="Palatino Linotype"/>
          <w:bCs/>
          <w:i/>
          <w:iCs/>
          <w:sz w:val="22"/>
          <w:szCs w:val="22"/>
        </w:rPr>
        <w:t>local</w:t>
      </w:r>
      <w:r w:rsidR="00504F3E" w:rsidRPr="00142EBC">
        <w:rPr>
          <w:rFonts w:ascii="Palatino Linotype" w:hAnsi="Palatino Linotype"/>
          <w:bCs/>
          <w:i/>
          <w:iCs/>
          <w:sz w:val="22"/>
          <w:szCs w:val="22"/>
        </w:rPr>
        <w:t xml:space="preserve"> </w:t>
      </w:r>
      <w:r w:rsidR="005A226E" w:rsidRPr="00142EBC">
        <w:rPr>
          <w:rFonts w:ascii="Palatino Linotype" w:hAnsi="Palatino Linotype"/>
          <w:bCs/>
          <w:i/>
          <w:iCs/>
          <w:sz w:val="22"/>
          <w:szCs w:val="22"/>
        </w:rPr>
        <w:t>match required</w:t>
      </w:r>
      <w:r w:rsidR="005A226E">
        <w:rPr>
          <w:rFonts w:ascii="Palatino Linotype" w:hAnsi="Palatino Linotype"/>
          <w:bCs/>
          <w:sz w:val="22"/>
          <w:szCs w:val="22"/>
        </w:rPr>
        <w:t xml:space="preserve">. </w:t>
      </w:r>
      <w:r w:rsidR="00AC1012" w:rsidRPr="00BA3E27">
        <w:rPr>
          <w:rFonts w:ascii="Palatino Linotype" w:hAnsi="Palatino Linotype"/>
          <w:bCs/>
          <w:sz w:val="22"/>
          <w:szCs w:val="22"/>
        </w:rPr>
        <w:t>The proposed planning activity must be included in the current Unified Planning Work Program (UPWP).</w:t>
      </w:r>
    </w:p>
    <w:p w14:paraId="2045797D" w14:textId="5A7C6439" w:rsidR="00256355" w:rsidRDefault="00F8542D" w:rsidP="001C4561">
      <w:pPr>
        <w:spacing w:after="100" w:afterAutospacing="1"/>
        <w:rPr>
          <w:rFonts w:ascii="Palatino Linotype" w:hAnsi="Palatino Linotype"/>
          <w:bCs/>
          <w:sz w:val="22"/>
          <w:szCs w:val="22"/>
        </w:rPr>
      </w:pPr>
      <w:r>
        <w:rPr>
          <w:rFonts w:ascii="Palatino Linotype" w:hAnsi="Palatino Linotype"/>
          <w:bCs/>
          <w:sz w:val="22"/>
          <w:szCs w:val="22"/>
        </w:rPr>
        <w:t>The following activities are eligible for 100% federal share with no state or local match:</w:t>
      </w:r>
    </w:p>
    <w:p w14:paraId="15CBD9B3" w14:textId="3AC1328B" w:rsidR="000F57C8" w:rsidRDefault="00F94760"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Adoption of Complete Streets standards or policies;</w:t>
      </w:r>
    </w:p>
    <w:p w14:paraId="0468B396" w14:textId="6E1361B4" w:rsidR="00F94760" w:rsidRDefault="00F94760"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Development of a Complete Streets prioritization plan that identifies a specific list of Complete Streets project to improve the safety, mobility or accessibility of a street;</w:t>
      </w:r>
    </w:p>
    <w:p w14:paraId="0081ED6B" w14:textId="2238D881" w:rsidR="00F94760" w:rsidRDefault="00EA74DC" w:rsidP="000F57C8">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lastRenderedPageBreak/>
        <w:t>Development of transportation plans to:</w:t>
      </w:r>
    </w:p>
    <w:p w14:paraId="37F1B9A7" w14:textId="4398581B" w:rsidR="00EA74DC" w:rsidRDefault="00EA74DC"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Create a network of active transportation</w:t>
      </w:r>
      <w:r w:rsidR="0073184E">
        <w:rPr>
          <w:rFonts w:ascii="Palatino Linotype" w:hAnsi="Palatino Linotype"/>
          <w:bCs/>
          <w:sz w:val="22"/>
          <w:szCs w:val="22"/>
        </w:rPr>
        <w:t xml:space="preserve"> facilities, including sidewalks, bikeways, or pedestrian and bicycle trails</w:t>
      </w:r>
      <w:r w:rsidR="0007104D">
        <w:rPr>
          <w:rFonts w:ascii="Palatino Linotype" w:hAnsi="Palatino Linotype"/>
          <w:bCs/>
          <w:sz w:val="22"/>
          <w:szCs w:val="22"/>
        </w:rPr>
        <w:t>, to connect neighborhoods with destinations such as workplaces, schools, residences, businesses, recreation areas, healthcare and childcare services, or other community activity centers;</w:t>
      </w:r>
    </w:p>
    <w:p w14:paraId="27A7E649" w14:textId="587A87FD" w:rsidR="0007104D" w:rsidRDefault="0007104D"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Integrate active transportation facilities with public transportation service or improve access to public transportation</w:t>
      </w:r>
      <w:r w:rsidR="00622A85">
        <w:rPr>
          <w:rFonts w:ascii="Palatino Linotype" w:hAnsi="Palatino Linotype"/>
          <w:bCs/>
          <w:sz w:val="22"/>
          <w:szCs w:val="22"/>
        </w:rPr>
        <w:t>;</w:t>
      </w:r>
    </w:p>
    <w:p w14:paraId="2F3A0D17" w14:textId="54AECFA2" w:rsidR="00622A85" w:rsidRDefault="00622A85"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Create multiuse active transportation infrastructure facilities (including bikeways or pedestrian and bicycle trails) that make connections within or between communities;</w:t>
      </w:r>
    </w:p>
    <w:p w14:paraId="76EAA54E" w14:textId="2A12F661" w:rsidR="00622A85" w:rsidRDefault="00001DEE"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Increase public transportation ridership; and</w:t>
      </w:r>
      <w:r w:rsidR="00C03A3B">
        <w:rPr>
          <w:rFonts w:ascii="Palatino Linotype" w:hAnsi="Palatino Linotype"/>
          <w:bCs/>
          <w:sz w:val="22"/>
          <w:szCs w:val="22"/>
        </w:rPr>
        <w:t>,</w:t>
      </w:r>
    </w:p>
    <w:p w14:paraId="528E4651" w14:textId="4CA79108" w:rsidR="00001DEE" w:rsidRDefault="00001DEE" w:rsidP="00EA74DC">
      <w:pPr>
        <w:pStyle w:val="ListParagraph"/>
        <w:numPr>
          <w:ilvl w:val="1"/>
          <w:numId w:val="23"/>
        </w:numPr>
        <w:spacing w:after="100" w:afterAutospacing="1"/>
        <w:rPr>
          <w:rFonts w:ascii="Palatino Linotype" w:hAnsi="Palatino Linotype"/>
          <w:bCs/>
          <w:sz w:val="22"/>
          <w:szCs w:val="22"/>
        </w:rPr>
      </w:pPr>
      <w:r>
        <w:rPr>
          <w:rFonts w:ascii="Palatino Linotype" w:hAnsi="Palatino Linotype"/>
          <w:bCs/>
          <w:sz w:val="22"/>
          <w:szCs w:val="22"/>
        </w:rPr>
        <w:t>Improve the safety of bicyclists and pedestrians.</w:t>
      </w:r>
    </w:p>
    <w:p w14:paraId="184815F8" w14:textId="3482ACC6" w:rsidR="00001DEE" w:rsidRDefault="00001DEE" w:rsidP="00001DEE">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Regional and megaregional planning (i.e., multi-jurisdictional transportation planning that extends beyond MPO and/or State boundaries) that address travel demand and capacity constraints through alternatives to new highway capacity, including through intercity passenger rail; and</w:t>
      </w:r>
      <w:r w:rsidR="00C03A3B">
        <w:rPr>
          <w:rFonts w:ascii="Palatino Linotype" w:hAnsi="Palatino Linotype"/>
          <w:bCs/>
          <w:sz w:val="22"/>
          <w:szCs w:val="22"/>
        </w:rPr>
        <w:t>,</w:t>
      </w:r>
    </w:p>
    <w:p w14:paraId="6965479F" w14:textId="319A6897" w:rsidR="004B17A2" w:rsidRDefault="00001DEE" w:rsidP="004B17A2">
      <w:pPr>
        <w:pStyle w:val="ListParagraph"/>
        <w:numPr>
          <w:ilvl w:val="0"/>
          <w:numId w:val="23"/>
        </w:numPr>
        <w:spacing w:after="100" w:afterAutospacing="1"/>
        <w:rPr>
          <w:rFonts w:ascii="Palatino Linotype" w:hAnsi="Palatino Linotype"/>
          <w:bCs/>
          <w:sz w:val="22"/>
          <w:szCs w:val="22"/>
        </w:rPr>
      </w:pPr>
      <w:r>
        <w:rPr>
          <w:rFonts w:ascii="Palatino Linotype" w:hAnsi="Palatino Linotype"/>
          <w:bCs/>
          <w:sz w:val="22"/>
          <w:szCs w:val="22"/>
        </w:rPr>
        <w:t xml:space="preserve">Development of transportation plans and policies that support transit-oriented development. </w:t>
      </w:r>
    </w:p>
    <w:p w14:paraId="113E705E" w14:textId="77777777" w:rsidR="00400767" w:rsidRPr="004B17A2" w:rsidRDefault="00400767" w:rsidP="00400767">
      <w:pPr>
        <w:pStyle w:val="ListParagraph"/>
        <w:spacing w:after="100" w:afterAutospacing="1"/>
        <w:rPr>
          <w:rFonts w:ascii="Palatino Linotype" w:hAnsi="Palatino Linotype"/>
          <w:bCs/>
          <w:sz w:val="22"/>
          <w:szCs w:val="22"/>
        </w:rPr>
      </w:pPr>
    </w:p>
    <w:p w14:paraId="14CB1C15" w14:textId="295ED979" w:rsidR="002751D1" w:rsidRPr="00400767" w:rsidRDefault="002751D1" w:rsidP="00400767">
      <w:pPr>
        <w:pStyle w:val="ListParagraph"/>
        <w:numPr>
          <w:ilvl w:val="0"/>
          <w:numId w:val="35"/>
        </w:numPr>
        <w:spacing w:before="120" w:after="100" w:afterAutospacing="1"/>
        <w:ind w:left="360"/>
        <w:rPr>
          <w:rFonts w:ascii="Palatino Linotype" w:hAnsi="Palatino Linotype"/>
          <w:b/>
          <w:color w:val="000066"/>
          <w:sz w:val="28"/>
        </w:rPr>
      </w:pPr>
      <w:r w:rsidRPr="00400767">
        <w:rPr>
          <w:rFonts w:ascii="Palatino Linotype" w:hAnsi="Palatino Linotype"/>
          <w:b/>
          <w:color w:val="000066"/>
          <w:sz w:val="28"/>
        </w:rPr>
        <w:t xml:space="preserve">Increased </w:t>
      </w:r>
      <w:r w:rsidR="00CB7E88" w:rsidRPr="00400767">
        <w:rPr>
          <w:rFonts w:ascii="Palatino Linotype" w:hAnsi="Palatino Linotype"/>
          <w:b/>
          <w:color w:val="000066"/>
          <w:sz w:val="28"/>
        </w:rPr>
        <w:t>F</w:t>
      </w:r>
      <w:r w:rsidRPr="00400767">
        <w:rPr>
          <w:rFonts w:ascii="Palatino Linotype" w:hAnsi="Palatino Linotype"/>
          <w:b/>
          <w:color w:val="000066"/>
          <w:sz w:val="28"/>
        </w:rPr>
        <w:t xml:space="preserve">ederal </w:t>
      </w:r>
      <w:r w:rsidR="00CB7E88" w:rsidRPr="00400767">
        <w:rPr>
          <w:rFonts w:ascii="Palatino Linotype" w:hAnsi="Palatino Linotype"/>
          <w:b/>
          <w:color w:val="000066"/>
          <w:sz w:val="28"/>
        </w:rPr>
        <w:t>S</w:t>
      </w:r>
      <w:r w:rsidRPr="00400767">
        <w:rPr>
          <w:rFonts w:ascii="Palatino Linotype" w:hAnsi="Palatino Linotype"/>
          <w:b/>
          <w:color w:val="000066"/>
          <w:sz w:val="28"/>
        </w:rPr>
        <w:t xml:space="preserve">hare for </w:t>
      </w:r>
      <w:r w:rsidR="004B17A2" w:rsidRPr="00400767">
        <w:rPr>
          <w:rFonts w:ascii="Palatino Linotype" w:hAnsi="Palatino Linotype"/>
          <w:b/>
          <w:color w:val="000066"/>
          <w:sz w:val="28"/>
        </w:rPr>
        <w:t>L</w:t>
      </w:r>
      <w:r w:rsidRPr="00400767">
        <w:rPr>
          <w:rFonts w:ascii="Palatino Linotype" w:hAnsi="Palatino Linotype"/>
          <w:b/>
          <w:color w:val="000066"/>
          <w:sz w:val="28"/>
        </w:rPr>
        <w:t xml:space="preserve">ower </w:t>
      </w:r>
      <w:r w:rsidR="004B17A2" w:rsidRPr="00400767">
        <w:rPr>
          <w:rFonts w:ascii="Palatino Linotype" w:hAnsi="Palatino Linotype"/>
          <w:b/>
          <w:color w:val="000066"/>
          <w:sz w:val="28"/>
        </w:rPr>
        <w:t>P</w:t>
      </w:r>
      <w:r w:rsidRPr="00400767">
        <w:rPr>
          <w:rFonts w:ascii="Palatino Linotype" w:hAnsi="Palatino Linotype"/>
          <w:b/>
          <w:color w:val="000066"/>
          <w:sz w:val="28"/>
        </w:rPr>
        <w:t xml:space="preserve">opulation </w:t>
      </w:r>
      <w:r w:rsidR="004B17A2" w:rsidRPr="00400767">
        <w:rPr>
          <w:rFonts w:ascii="Palatino Linotype" w:hAnsi="Palatino Linotype"/>
          <w:b/>
          <w:color w:val="000066"/>
          <w:sz w:val="28"/>
        </w:rPr>
        <w:t>D</w:t>
      </w:r>
      <w:r w:rsidRPr="00400767">
        <w:rPr>
          <w:rFonts w:ascii="Palatino Linotype" w:hAnsi="Palatino Linotype"/>
          <w:b/>
          <w:color w:val="000066"/>
          <w:sz w:val="28"/>
        </w:rPr>
        <w:t xml:space="preserve">ensity or </w:t>
      </w:r>
      <w:r w:rsidR="004B17A2" w:rsidRPr="00400767">
        <w:rPr>
          <w:rFonts w:ascii="Palatino Linotype" w:hAnsi="Palatino Linotype"/>
          <w:b/>
          <w:color w:val="000066"/>
          <w:sz w:val="28"/>
        </w:rPr>
        <w:t>I</w:t>
      </w:r>
      <w:r w:rsidRPr="00400767">
        <w:rPr>
          <w:rFonts w:ascii="Palatino Linotype" w:hAnsi="Palatino Linotype"/>
          <w:b/>
          <w:color w:val="000066"/>
          <w:sz w:val="28"/>
        </w:rPr>
        <w:t>ncome</w:t>
      </w:r>
    </w:p>
    <w:p w14:paraId="3B219631" w14:textId="77777777" w:rsidR="00BA3E27" w:rsidRPr="00142EBC" w:rsidRDefault="004F6CC8" w:rsidP="001C4561">
      <w:pPr>
        <w:spacing w:after="100" w:afterAutospacing="1"/>
        <w:rPr>
          <w:rFonts w:ascii="Palatino Linotype" w:hAnsi="Palatino Linotype"/>
          <w:bCs/>
          <w:i/>
          <w:iCs/>
          <w:sz w:val="22"/>
          <w:szCs w:val="22"/>
        </w:rPr>
      </w:pPr>
      <w:r w:rsidRPr="004F6CC8">
        <w:rPr>
          <w:rFonts w:ascii="Palatino Linotype" w:hAnsi="Palatino Linotype"/>
          <w:bCs/>
          <w:sz w:val="22"/>
          <w:szCs w:val="22"/>
        </w:rPr>
        <w:t>This wa</w:t>
      </w:r>
      <w:r>
        <w:rPr>
          <w:rFonts w:ascii="Palatino Linotype" w:hAnsi="Palatino Linotype"/>
          <w:bCs/>
          <w:sz w:val="22"/>
          <w:szCs w:val="22"/>
        </w:rPr>
        <w:t xml:space="preserve">iver </w:t>
      </w:r>
      <w:r w:rsidR="00FB38FB">
        <w:rPr>
          <w:rFonts w:ascii="Palatino Linotype" w:hAnsi="Palatino Linotype"/>
          <w:bCs/>
          <w:sz w:val="22"/>
          <w:szCs w:val="22"/>
        </w:rPr>
        <w:t xml:space="preserve">is meant to support </w:t>
      </w:r>
      <w:r w:rsidR="00D46423" w:rsidRPr="00D46423">
        <w:rPr>
          <w:rFonts w:ascii="Palatino Linotype" w:hAnsi="Palatino Linotype"/>
          <w:bCs/>
          <w:sz w:val="22"/>
          <w:szCs w:val="22"/>
        </w:rPr>
        <w:t xml:space="preserve">planning activities to increase mobility through expanded access to public transportation in areas with a lower population density or a lower average income in relationship to </w:t>
      </w:r>
      <w:r w:rsidR="004B11B2">
        <w:rPr>
          <w:rFonts w:ascii="Palatino Linotype" w:hAnsi="Palatino Linotype"/>
          <w:bCs/>
          <w:sz w:val="22"/>
          <w:szCs w:val="22"/>
        </w:rPr>
        <w:t>(1</w:t>
      </w:r>
      <w:r w:rsidR="003F0BAD" w:rsidRPr="004B11B2">
        <w:rPr>
          <w:rFonts w:ascii="Palatino Linotype" w:hAnsi="Palatino Linotype"/>
          <w:bCs/>
          <w:sz w:val="22"/>
          <w:szCs w:val="22"/>
        </w:rPr>
        <w:t>) the applicable urbanized area; (</w:t>
      </w:r>
      <w:r w:rsidR="004B11B2" w:rsidRPr="004B11B2">
        <w:rPr>
          <w:rFonts w:ascii="Palatino Linotype" w:hAnsi="Palatino Linotype"/>
          <w:bCs/>
          <w:sz w:val="22"/>
          <w:szCs w:val="22"/>
        </w:rPr>
        <w:t>2</w:t>
      </w:r>
      <w:r w:rsidR="003F0BAD" w:rsidRPr="004B11B2">
        <w:rPr>
          <w:rFonts w:ascii="Palatino Linotype" w:hAnsi="Palatino Linotype"/>
          <w:bCs/>
          <w:sz w:val="22"/>
          <w:szCs w:val="22"/>
        </w:rPr>
        <w:t>) the applicable rural area; (</w:t>
      </w:r>
      <w:r w:rsidR="004B11B2" w:rsidRPr="004B11B2">
        <w:rPr>
          <w:rFonts w:ascii="Palatino Linotype" w:hAnsi="Palatino Linotype"/>
          <w:bCs/>
          <w:sz w:val="22"/>
          <w:szCs w:val="22"/>
        </w:rPr>
        <w:t>3</w:t>
      </w:r>
      <w:r w:rsidR="003F0BAD" w:rsidRPr="004B11B2">
        <w:rPr>
          <w:rFonts w:ascii="Palatino Linotype" w:hAnsi="Palatino Linotype"/>
          <w:bCs/>
          <w:sz w:val="22"/>
          <w:szCs w:val="22"/>
        </w:rPr>
        <w:t>) an adjoining urbanized area; or (</w:t>
      </w:r>
      <w:r w:rsidR="004B11B2" w:rsidRPr="004B11B2">
        <w:rPr>
          <w:rFonts w:ascii="Palatino Linotype" w:hAnsi="Palatino Linotype"/>
          <w:bCs/>
          <w:sz w:val="22"/>
          <w:szCs w:val="22"/>
        </w:rPr>
        <w:t>4</w:t>
      </w:r>
      <w:r w:rsidR="003F0BAD" w:rsidRPr="004B11B2">
        <w:rPr>
          <w:rFonts w:ascii="Palatino Linotype" w:hAnsi="Palatino Linotype"/>
          <w:bCs/>
          <w:sz w:val="22"/>
          <w:szCs w:val="22"/>
        </w:rPr>
        <w:t>) an adjoining rural area.</w:t>
      </w:r>
      <w:r w:rsidR="00CD65B9">
        <w:rPr>
          <w:rFonts w:ascii="Palatino Linotype" w:hAnsi="Palatino Linotype"/>
          <w:bCs/>
          <w:sz w:val="22"/>
          <w:szCs w:val="22"/>
        </w:rPr>
        <w:t xml:space="preserve"> </w:t>
      </w:r>
      <w:r w:rsidR="00150BFB" w:rsidRPr="00142EBC">
        <w:rPr>
          <w:rFonts w:ascii="Palatino Linotype" w:hAnsi="Palatino Linotype"/>
          <w:bCs/>
          <w:i/>
          <w:iCs/>
          <w:sz w:val="22"/>
          <w:szCs w:val="22"/>
        </w:rPr>
        <w:t xml:space="preserve">The federal share for </w:t>
      </w:r>
      <w:r w:rsidR="00F97C3E" w:rsidRPr="00142EBC">
        <w:rPr>
          <w:rFonts w:ascii="Palatino Linotype" w:hAnsi="Palatino Linotype"/>
          <w:bCs/>
          <w:i/>
          <w:iCs/>
          <w:sz w:val="22"/>
          <w:szCs w:val="22"/>
        </w:rPr>
        <w:t xml:space="preserve">these planning activities can be up to 90 percent, supported by five percent state match and five percent local match. </w:t>
      </w:r>
    </w:p>
    <w:p w14:paraId="54F2D6E0" w14:textId="64BB45BA" w:rsidR="002751D1" w:rsidRDefault="00520F17" w:rsidP="001C4561">
      <w:pPr>
        <w:spacing w:after="100" w:afterAutospacing="1"/>
        <w:rPr>
          <w:rFonts w:ascii="Palatino Linotype" w:hAnsi="Palatino Linotype"/>
          <w:bCs/>
          <w:sz w:val="22"/>
          <w:szCs w:val="22"/>
        </w:rPr>
      </w:pPr>
      <w:r w:rsidRPr="00BA3E27">
        <w:rPr>
          <w:rFonts w:ascii="Palatino Linotype" w:hAnsi="Palatino Linotype"/>
          <w:bCs/>
          <w:sz w:val="22"/>
          <w:szCs w:val="22"/>
        </w:rPr>
        <w:t>Eligible activities under the Section 5303 program grants include the development of transportation plans and programs; the planning, engineering, designing and evaluation of a public transportation project; and technical studies relating to public transportation planning to increase mobility through expanded access to reliable public transportation in areas with a lower population density or a lower average income than surrounding areas. The proposed planning activity must be included in the curren</w:t>
      </w:r>
      <w:r w:rsidR="008F2CC4">
        <w:rPr>
          <w:rFonts w:ascii="Palatino Linotype" w:hAnsi="Palatino Linotype"/>
          <w:bCs/>
          <w:sz w:val="22"/>
          <w:szCs w:val="22"/>
        </w:rPr>
        <w:t>t, adopted</w:t>
      </w:r>
      <w:r w:rsidRPr="00BA3E27">
        <w:rPr>
          <w:rFonts w:ascii="Palatino Linotype" w:hAnsi="Palatino Linotype"/>
          <w:bCs/>
          <w:sz w:val="22"/>
          <w:szCs w:val="22"/>
        </w:rPr>
        <w:t xml:space="preserve"> UPWP.</w:t>
      </w:r>
    </w:p>
    <w:p w14:paraId="5DD59D26" w14:textId="06131786" w:rsidR="00BA3E27" w:rsidRDefault="00513D4B" w:rsidP="001C4561">
      <w:pPr>
        <w:spacing w:after="100" w:afterAutospacing="1"/>
        <w:rPr>
          <w:rFonts w:ascii="Palatino Linotype" w:hAnsi="Palatino Linotype"/>
          <w:bCs/>
          <w:sz w:val="22"/>
          <w:szCs w:val="22"/>
        </w:rPr>
      </w:pPr>
      <w:r w:rsidRPr="00477C12">
        <w:rPr>
          <w:rFonts w:ascii="Palatino Linotype" w:hAnsi="Palatino Linotype"/>
          <w:bCs/>
          <w:sz w:val="22"/>
          <w:szCs w:val="22"/>
        </w:rPr>
        <w:t xml:space="preserve">The </w:t>
      </w:r>
      <w:r w:rsidR="00AC1012">
        <w:rPr>
          <w:rFonts w:ascii="Palatino Linotype" w:hAnsi="Palatino Linotype"/>
          <w:bCs/>
          <w:sz w:val="22"/>
          <w:szCs w:val="22"/>
        </w:rPr>
        <w:t>subrecipient agency</w:t>
      </w:r>
      <w:r w:rsidRPr="00477C12">
        <w:rPr>
          <w:rFonts w:ascii="Palatino Linotype" w:hAnsi="Palatino Linotype"/>
          <w:bCs/>
          <w:sz w:val="22"/>
          <w:szCs w:val="22"/>
        </w:rPr>
        <w:t xml:space="preserve"> applying for this funding must demonstrate that the activity assists those parts of an urbanized area or rural area with a lower population density or a lower average income compared to the applicable or adjoining urbanized area or the applicable or adjoining rural area. To demonstrate this eligibility, the </w:t>
      </w:r>
      <w:r w:rsidR="00477C12" w:rsidRPr="00477C12">
        <w:rPr>
          <w:rFonts w:ascii="Palatino Linotype" w:hAnsi="Palatino Linotype"/>
          <w:bCs/>
          <w:sz w:val="22"/>
          <w:szCs w:val="22"/>
        </w:rPr>
        <w:t>sub</w:t>
      </w:r>
      <w:r w:rsidRPr="00477C12">
        <w:rPr>
          <w:rFonts w:ascii="Palatino Linotype" w:hAnsi="Palatino Linotype"/>
          <w:bCs/>
          <w:sz w:val="22"/>
          <w:szCs w:val="22"/>
        </w:rPr>
        <w:t xml:space="preserve">recipient must provide one of two types of demographic information for both the activity’s area and its applicable or adjoining urbanized or rural area: average income </w:t>
      </w:r>
      <w:r w:rsidR="005E5CC7" w:rsidRPr="005E5CC7">
        <w:rPr>
          <w:rFonts w:ascii="Palatino Linotype" w:hAnsi="Palatino Linotype"/>
          <w:b/>
          <w:sz w:val="22"/>
          <w:szCs w:val="22"/>
        </w:rPr>
        <w:t>OR</w:t>
      </w:r>
      <w:r w:rsidRPr="00477C12">
        <w:rPr>
          <w:rFonts w:ascii="Palatino Linotype" w:hAnsi="Palatino Linotype"/>
          <w:bCs/>
          <w:sz w:val="22"/>
          <w:szCs w:val="22"/>
        </w:rPr>
        <w:t xml:space="preserve"> population density. </w:t>
      </w:r>
    </w:p>
    <w:p w14:paraId="1926FD4F" w14:textId="333265FD" w:rsidR="006A27FB" w:rsidRDefault="00A90E67" w:rsidP="001C4561">
      <w:pPr>
        <w:spacing w:after="100" w:afterAutospacing="1"/>
      </w:pPr>
      <w:r>
        <w:rPr>
          <w:rFonts w:ascii="Palatino Linotype" w:hAnsi="Palatino Linotype"/>
          <w:bCs/>
          <w:sz w:val="22"/>
          <w:szCs w:val="22"/>
        </w:rPr>
        <w:t>The</w:t>
      </w:r>
      <w:r w:rsidR="00380822" w:rsidRPr="00380822">
        <w:rPr>
          <w:rFonts w:ascii="Palatino Linotype" w:hAnsi="Palatino Linotype"/>
          <w:bCs/>
          <w:sz w:val="22"/>
          <w:szCs w:val="22"/>
        </w:rPr>
        <w:t xml:space="preserve"> </w:t>
      </w:r>
      <w:r>
        <w:rPr>
          <w:rFonts w:ascii="Palatino Linotype" w:hAnsi="Palatino Linotype"/>
          <w:bCs/>
          <w:sz w:val="22"/>
          <w:szCs w:val="22"/>
        </w:rPr>
        <w:t>sub</w:t>
      </w:r>
      <w:r w:rsidR="00380822" w:rsidRPr="00380822">
        <w:rPr>
          <w:rFonts w:ascii="Palatino Linotype" w:hAnsi="Palatino Linotype"/>
          <w:bCs/>
          <w:sz w:val="22"/>
          <w:szCs w:val="22"/>
        </w:rPr>
        <w:t xml:space="preserve">recipient </w:t>
      </w:r>
      <w:r>
        <w:rPr>
          <w:rFonts w:ascii="Palatino Linotype" w:hAnsi="Palatino Linotype"/>
          <w:bCs/>
          <w:sz w:val="22"/>
          <w:szCs w:val="22"/>
        </w:rPr>
        <w:t xml:space="preserve">agency </w:t>
      </w:r>
      <w:r w:rsidR="00380822" w:rsidRPr="00380822">
        <w:rPr>
          <w:rFonts w:ascii="Palatino Linotype" w:hAnsi="Palatino Linotype"/>
          <w:bCs/>
          <w:sz w:val="22"/>
          <w:szCs w:val="22"/>
        </w:rPr>
        <w:t xml:space="preserve">may use any verifiable data resource and mapping product to demonstrate eligibility for applicable higher Federal share as described above. One publicly </w:t>
      </w:r>
      <w:r w:rsidR="00380822" w:rsidRPr="00380822">
        <w:rPr>
          <w:rFonts w:ascii="Palatino Linotype" w:hAnsi="Palatino Linotype"/>
          <w:bCs/>
          <w:sz w:val="22"/>
          <w:szCs w:val="22"/>
        </w:rPr>
        <w:lastRenderedPageBreak/>
        <w:t xml:space="preserve">available tool that </w:t>
      </w:r>
      <w:r w:rsidR="003036AD">
        <w:rPr>
          <w:rFonts w:ascii="Palatino Linotype" w:hAnsi="Palatino Linotype"/>
          <w:bCs/>
          <w:sz w:val="22"/>
          <w:szCs w:val="22"/>
        </w:rPr>
        <w:t>agencies</w:t>
      </w:r>
      <w:r w:rsidR="00380822" w:rsidRPr="00380822">
        <w:rPr>
          <w:rFonts w:ascii="Palatino Linotype" w:hAnsi="Palatino Linotype"/>
          <w:bCs/>
          <w:sz w:val="22"/>
          <w:szCs w:val="22"/>
        </w:rPr>
        <w:t xml:space="preserve"> </w:t>
      </w:r>
      <w:r w:rsidR="00A32825">
        <w:rPr>
          <w:rFonts w:ascii="Palatino Linotype" w:hAnsi="Palatino Linotype"/>
          <w:bCs/>
          <w:sz w:val="22"/>
          <w:szCs w:val="22"/>
        </w:rPr>
        <w:t>may</w:t>
      </w:r>
      <w:r w:rsidR="00380822" w:rsidRPr="00380822">
        <w:rPr>
          <w:rFonts w:ascii="Palatino Linotype" w:hAnsi="Palatino Linotype"/>
          <w:bCs/>
          <w:sz w:val="22"/>
          <w:szCs w:val="22"/>
        </w:rPr>
        <w:t xml:space="preserve"> use is the Environmental Protection Agency’s Environmental Justice Screening and Mapping Tool, EJScreen (</w:t>
      </w:r>
      <w:hyperlink r:id="rId15" w:history="1">
        <w:r w:rsidR="00A32825" w:rsidRPr="008A68CD">
          <w:rPr>
            <w:rStyle w:val="Hyperlink"/>
            <w:rFonts w:ascii="Palatino Linotype" w:hAnsi="Palatino Linotype"/>
            <w:bCs/>
            <w:sz w:val="22"/>
            <w:szCs w:val="22"/>
          </w:rPr>
          <w:t>https://ejscreen.epa.gov/mapper/</w:t>
        </w:r>
      </w:hyperlink>
      <w:r w:rsidR="00380822" w:rsidRPr="00380822">
        <w:rPr>
          <w:rFonts w:ascii="Palatino Linotype" w:hAnsi="Palatino Linotype"/>
          <w:bCs/>
          <w:sz w:val="22"/>
          <w:szCs w:val="22"/>
        </w:rPr>
        <w:t>).</w:t>
      </w:r>
      <w:r w:rsidR="00A32825">
        <w:rPr>
          <w:rFonts w:ascii="Palatino Linotype" w:hAnsi="Palatino Linotype"/>
          <w:bCs/>
          <w:sz w:val="22"/>
          <w:szCs w:val="22"/>
        </w:rPr>
        <w:t xml:space="preserve"> </w:t>
      </w:r>
      <w:r w:rsidR="00380822" w:rsidRPr="00380822">
        <w:rPr>
          <w:rFonts w:ascii="Palatino Linotype" w:hAnsi="Palatino Linotype"/>
          <w:bCs/>
          <w:sz w:val="22"/>
          <w:szCs w:val="22"/>
        </w:rPr>
        <w:t xml:space="preserve">EJScreen is an environmental justice mapping and screening tool that provides demographic and environmental information for a project area. EJScreen allows users to access high-resolution environmental and demographic information for the project location and to compare their project location to other areas. Instructions on how to use EJScreen can be found at: </w:t>
      </w:r>
      <w:hyperlink r:id="rId16" w:history="1">
        <w:r w:rsidR="006A27FB" w:rsidRPr="00943430">
          <w:rPr>
            <w:rStyle w:val="Hyperlink"/>
          </w:rPr>
          <w:t>https://www.epa.gov/ejscreen/learn-use-ejscreen</w:t>
        </w:r>
      </w:hyperlink>
      <w:r w:rsidR="004F5141">
        <w:t xml:space="preserve">. </w:t>
      </w:r>
      <w:r w:rsidR="00006F09" w:rsidRPr="00691300">
        <w:rPr>
          <w:b/>
          <w:bCs/>
        </w:rPr>
        <w:t>A</w:t>
      </w:r>
      <w:r w:rsidR="00691300" w:rsidRPr="00691300">
        <w:rPr>
          <w:b/>
          <w:bCs/>
        </w:rPr>
        <w:t>ppendix A</w:t>
      </w:r>
      <w:r w:rsidR="00691300">
        <w:t xml:space="preserve"> offers an example of using the EJScreen tool. </w:t>
      </w:r>
    </w:p>
    <w:p w14:paraId="7265BB24" w14:textId="13F2C359" w:rsidR="00CB1F4A" w:rsidRDefault="009E5F80" w:rsidP="001C4561">
      <w:pPr>
        <w:pStyle w:val="Caption"/>
        <w:spacing w:before="120"/>
      </w:pPr>
      <w:r>
        <w:rPr>
          <w:rFonts w:cs="Lucida Sans Unicode"/>
          <w:noProof/>
          <w:sz w:val="22"/>
          <w:szCs w:val="22"/>
        </w:rPr>
        <mc:AlternateContent>
          <mc:Choice Requires="wps">
            <w:drawing>
              <wp:anchor distT="0" distB="0" distL="114300" distR="114300" simplePos="0" relativeHeight="251660289" behindDoc="0" locked="0" layoutInCell="1" allowOverlap="1" wp14:anchorId="0E8A564A" wp14:editId="1F9936EC">
                <wp:simplePos x="0" y="0"/>
                <wp:positionH relativeFrom="column">
                  <wp:posOffset>-38100</wp:posOffset>
                </wp:positionH>
                <wp:positionV relativeFrom="paragraph">
                  <wp:posOffset>293370</wp:posOffset>
                </wp:positionV>
                <wp:extent cx="6181090" cy="0"/>
                <wp:effectExtent l="0" t="19050" r="29210" b="19050"/>
                <wp:wrapNone/>
                <wp:docPr id="186552380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9D07FB" id="Line 2" o:spid="_x0000_s1026" style="position:absolute;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23.1pt" to="483.7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" strokecolor="#960" strokeweight="3pt">
                <v:stroke linestyle="thinThin"/>
              </v:line>
            </w:pict>
          </mc:Fallback>
        </mc:AlternateContent>
      </w:r>
      <w:r w:rsidR="00CB1F4A">
        <w:t>Required Documentation</w:t>
      </w:r>
      <w:r w:rsidR="0003612D">
        <w:t xml:space="preserve"> and Demonstrating Eligibility</w:t>
      </w:r>
    </w:p>
    <w:p w14:paraId="75A05E61" w14:textId="5B2A18CB" w:rsidR="00CB1F4A" w:rsidRDefault="00CB1F4A" w:rsidP="00CB1F4A">
      <w:pPr>
        <w:spacing w:after="160" w:line="259" w:lineRule="auto"/>
        <w:rPr>
          <w:rFonts w:ascii="Palatino Linotype" w:hAnsi="Palatino Linotype"/>
          <w:bCs/>
          <w:sz w:val="22"/>
          <w:szCs w:val="22"/>
        </w:rPr>
      </w:pPr>
      <w:r>
        <w:rPr>
          <w:rFonts w:ascii="Palatino Linotype" w:hAnsi="Palatino Linotype"/>
          <w:bCs/>
          <w:sz w:val="22"/>
          <w:szCs w:val="22"/>
        </w:rPr>
        <w:t>The following required documents must be submitted for planning projects requesting the higher federal match percentages</w:t>
      </w:r>
      <w:r w:rsidR="00077C0D">
        <w:rPr>
          <w:rFonts w:ascii="Palatino Linotype" w:hAnsi="Palatino Linotype"/>
          <w:bCs/>
          <w:sz w:val="22"/>
          <w:szCs w:val="22"/>
        </w:rPr>
        <w:t xml:space="preserve"> for either of these two waivers</w:t>
      </w:r>
      <w:r>
        <w:rPr>
          <w:rFonts w:ascii="Palatino Linotype" w:hAnsi="Palatino Linotype"/>
          <w:bCs/>
          <w:sz w:val="22"/>
          <w:szCs w:val="22"/>
        </w:rPr>
        <w:t>. These documents must also be found within the respective MPO</w:t>
      </w:r>
      <w:r w:rsidR="00077C0D">
        <w:rPr>
          <w:rFonts w:ascii="Palatino Linotype" w:hAnsi="Palatino Linotype"/>
          <w:bCs/>
          <w:sz w:val="22"/>
          <w:szCs w:val="22"/>
        </w:rPr>
        <w:t>’s</w:t>
      </w:r>
      <w:r>
        <w:rPr>
          <w:rFonts w:ascii="Palatino Linotype" w:hAnsi="Palatino Linotype"/>
          <w:bCs/>
          <w:sz w:val="22"/>
          <w:szCs w:val="22"/>
        </w:rPr>
        <w:t xml:space="preserve"> final</w:t>
      </w:r>
      <w:r w:rsidR="000F7573">
        <w:rPr>
          <w:rFonts w:ascii="Palatino Linotype" w:hAnsi="Palatino Linotype"/>
          <w:bCs/>
          <w:sz w:val="22"/>
          <w:szCs w:val="22"/>
        </w:rPr>
        <w:t>,</w:t>
      </w:r>
      <w:r>
        <w:rPr>
          <w:rFonts w:ascii="Palatino Linotype" w:hAnsi="Palatino Linotype"/>
          <w:bCs/>
          <w:sz w:val="22"/>
          <w:szCs w:val="22"/>
        </w:rPr>
        <w:t xml:space="preserve"> adopted UPWP. Failure to include sufficient documentation in the UPWP and with the Section 5303 planning application may result in the denial of the higher federal share for certain </w:t>
      </w:r>
      <w:r w:rsidR="005E54BC">
        <w:rPr>
          <w:rFonts w:ascii="Palatino Linotype" w:hAnsi="Palatino Linotype"/>
          <w:bCs/>
          <w:sz w:val="22"/>
          <w:szCs w:val="22"/>
        </w:rPr>
        <w:t xml:space="preserve">planning </w:t>
      </w:r>
      <w:r>
        <w:rPr>
          <w:rFonts w:ascii="Palatino Linotype" w:hAnsi="Palatino Linotype"/>
          <w:bCs/>
          <w:sz w:val="22"/>
          <w:szCs w:val="22"/>
        </w:rPr>
        <w:t>projects within the UPWP.</w:t>
      </w:r>
    </w:p>
    <w:p w14:paraId="5311FBFD" w14:textId="0C5A4914" w:rsidR="009F036E" w:rsidRPr="009F036E" w:rsidRDefault="009F036E" w:rsidP="009F036E">
      <w:pPr>
        <w:pStyle w:val="ListParagraph"/>
        <w:numPr>
          <w:ilvl w:val="0"/>
          <w:numId w:val="29"/>
        </w:numPr>
        <w:spacing w:after="160" w:line="259" w:lineRule="auto"/>
        <w:rPr>
          <w:rFonts w:ascii="Palatino Linotype" w:hAnsi="Palatino Linotype"/>
          <w:b/>
          <w:sz w:val="22"/>
          <w:szCs w:val="22"/>
        </w:rPr>
      </w:pPr>
      <w:r w:rsidRPr="009F036E">
        <w:rPr>
          <w:rFonts w:ascii="Palatino Linotype" w:hAnsi="Palatino Linotype"/>
          <w:b/>
          <w:sz w:val="22"/>
          <w:szCs w:val="22"/>
        </w:rPr>
        <w:t>Separate UPWP Budget Table</w:t>
      </w:r>
    </w:p>
    <w:p w14:paraId="2451A028" w14:textId="056F287B" w:rsidR="00CB1F4A" w:rsidRPr="009F036E" w:rsidRDefault="00CB1F4A" w:rsidP="009F036E">
      <w:pPr>
        <w:pStyle w:val="ListParagraph"/>
        <w:spacing w:after="160" w:line="259" w:lineRule="auto"/>
        <w:rPr>
          <w:rFonts w:ascii="Palatino Linotype" w:hAnsi="Palatino Linotype"/>
          <w:bCs/>
          <w:sz w:val="22"/>
          <w:szCs w:val="22"/>
        </w:rPr>
      </w:pPr>
      <w:r w:rsidRPr="009F036E">
        <w:rPr>
          <w:rFonts w:ascii="Palatino Linotype" w:hAnsi="Palatino Linotype"/>
          <w:bCs/>
          <w:sz w:val="22"/>
          <w:szCs w:val="22"/>
        </w:rPr>
        <w:t xml:space="preserve">A separate budget table should be included within the UPWP showing all planning projects that are proposed to utilize either the 90 or 100% federal share.  These projects within this separate table should clearly note which waiver is being applied and the appropriate federal, state and local match breakdowns. For Complete Streets activities, 100% of the </w:t>
      </w:r>
      <w:r w:rsidR="00F86C37" w:rsidRPr="009F036E">
        <w:rPr>
          <w:rFonts w:ascii="Palatino Linotype" w:hAnsi="Palatino Linotype"/>
          <w:bCs/>
          <w:sz w:val="22"/>
          <w:szCs w:val="22"/>
        </w:rPr>
        <w:t xml:space="preserve">project </w:t>
      </w:r>
      <w:r w:rsidRPr="009F036E">
        <w:rPr>
          <w:rFonts w:ascii="Palatino Linotype" w:hAnsi="Palatino Linotype"/>
          <w:bCs/>
          <w:sz w:val="22"/>
          <w:szCs w:val="22"/>
        </w:rPr>
        <w:t xml:space="preserve">cost is eligible for federal funding with no state or local match necessary. For the Lesser Population Density or Income waiver, the federal percentage may be shown at 90% </w:t>
      </w:r>
      <w:r w:rsidR="00F86C37" w:rsidRPr="009F036E">
        <w:rPr>
          <w:rFonts w:ascii="Palatino Linotype" w:hAnsi="Palatino Linotype"/>
          <w:bCs/>
          <w:sz w:val="22"/>
          <w:szCs w:val="22"/>
        </w:rPr>
        <w:t xml:space="preserve">federal funding </w:t>
      </w:r>
      <w:r w:rsidRPr="009F036E">
        <w:rPr>
          <w:rFonts w:ascii="Palatino Linotype" w:hAnsi="Palatino Linotype"/>
          <w:bCs/>
          <w:sz w:val="22"/>
          <w:szCs w:val="22"/>
        </w:rPr>
        <w:t>with 5% state and 5% local match participations.</w:t>
      </w:r>
    </w:p>
    <w:p w14:paraId="22632AA7" w14:textId="77777777" w:rsidR="009F036E" w:rsidRDefault="009F036E" w:rsidP="009F036E">
      <w:pPr>
        <w:pStyle w:val="ListParagraph"/>
        <w:spacing w:after="160" w:line="259" w:lineRule="auto"/>
        <w:rPr>
          <w:rFonts w:ascii="Palatino Linotype" w:hAnsi="Palatino Linotype"/>
          <w:bCs/>
          <w:sz w:val="22"/>
          <w:szCs w:val="22"/>
        </w:rPr>
      </w:pPr>
    </w:p>
    <w:p w14:paraId="5A740A53" w14:textId="5CBD316C" w:rsidR="009F036E" w:rsidRPr="009F036E" w:rsidRDefault="009F036E" w:rsidP="009F036E">
      <w:pPr>
        <w:pStyle w:val="ListParagraph"/>
        <w:numPr>
          <w:ilvl w:val="0"/>
          <w:numId w:val="29"/>
        </w:numPr>
        <w:spacing w:after="160" w:line="259" w:lineRule="auto"/>
        <w:rPr>
          <w:rFonts w:ascii="Palatino Linotype" w:hAnsi="Palatino Linotype"/>
          <w:b/>
          <w:sz w:val="22"/>
          <w:szCs w:val="22"/>
        </w:rPr>
      </w:pPr>
      <w:r w:rsidRPr="009F036E">
        <w:rPr>
          <w:rFonts w:ascii="Palatino Linotype" w:hAnsi="Palatino Linotype"/>
          <w:b/>
          <w:sz w:val="22"/>
          <w:szCs w:val="22"/>
        </w:rPr>
        <w:t>Project Information Sheet(s)</w:t>
      </w:r>
    </w:p>
    <w:p w14:paraId="5D7731D3" w14:textId="123E68B5" w:rsidR="009F036E" w:rsidRDefault="009F036E" w:rsidP="009F036E">
      <w:pPr>
        <w:pStyle w:val="ListParagraph"/>
        <w:spacing w:after="160" w:line="259" w:lineRule="auto"/>
        <w:rPr>
          <w:rFonts w:ascii="Palatino Linotype" w:hAnsi="Palatino Linotype"/>
          <w:bCs/>
          <w:sz w:val="22"/>
          <w:szCs w:val="22"/>
        </w:rPr>
      </w:pPr>
      <w:r>
        <w:rPr>
          <w:rFonts w:ascii="Palatino Linotype" w:hAnsi="Palatino Linotype"/>
          <w:bCs/>
          <w:sz w:val="22"/>
          <w:szCs w:val="22"/>
        </w:rPr>
        <w:t>Complete s</w:t>
      </w:r>
      <w:r w:rsidR="00CB1F4A">
        <w:rPr>
          <w:rFonts w:ascii="Palatino Linotype" w:hAnsi="Palatino Linotype"/>
          <w:bCs/>
          <w:sz w:val="22"/>
          <w:szCs w:val="22"/>
        </w:rPr>
        <w:t>eparate project information sheet</w:t>
      </w:r>
      <w:r w:rsidR="00A0298F">
        <w:rPr>
          <w:rFonts w:ascii="Palatino Linotype" w:hAnsi="Palatino Linotype"/>
          <w:bCs/>
          <w:sz w:val="22"/>
          <w:szCs w:val="22"/>
        </w:rPr>
        <w:t>(</w:t>
      </w:r>
      <w:r w:rsidR="00CB1F4A">
        <w:rPr>
          <w:rFonts w:ascii="Palatino Linotype" w:hAnsi="Palatino Linotype"/>
          <w:bCs/>
          <w:sz w:val="22"/>
          <w:szCs w:val="22"/>
        </w:rPr>
        <w:t>s</w:t>
      </w:r>
      <w:r w:rsidR="00A0298F">
        <w:rPr>
          <w:rFonts w:ascii="Palatino Linotype" w:hAnsi="Palatino Linotype"/>
          <w:bCs/>
          <w:sz w:val="22"/>
          <w:szCs w:val="22"/>
        </w:rPr>
        <w:t>)</w:t>
      </w:r>
      <w:r w:rsidR="00CB1F4A">
        <w:rPr>
          <w:rFonts w:ascii="Palatino Linotype" w:hAnsi="Palatino Linotype"/>
          <w:bCs/>
          <w:sz w:val="22"/>
          <w:szCs w:val="22"/>
        </w:rPr>
        <w:t xml:space="preserve"> for each project requesting to utilize </w:t>
      </w:r>
      <w:r w:rsidR="00B34A3B">
        <w:rPr>
          <w:rFonts w:ascii="Palatino Linotype" w:hAnsi="Palatino Linotype"/>
          <w:bCs/>
          <w:sz w:val="22"/>
          <w:szCs w:val="22"/>
        </w:rPr>
        <w:t xml:space="preserve">either </w:t>
      </w:r>
      <w:r w:rsidR="00CB1F4A">
        <w:rPr>
          <w:rFonts w:ascii="Palatino Linotype" w:hAnsi="Palatino Linotype"/>
          <w:bCs/>
          <w:sz w:val="22"/>
          <w:szCs w:val="22"/>
        </w:rPr>
        <w:t>the 90</w:t>
      </w:r>
      <w:r w:rsidR="00053F62">
        <w:rPr>
          <w:rFonts w:ascii="Palatino Linotype" w:hAnsi="Palatino Linotype"/>
          <w:bCs/>
          <w:sz w:val="22"/>
          <w:szCs w:val="22"/>
        </w:rPr>
        <w:t>%</w:t>
      </w:r>
      <w:r w:rsidR="00CB1F4A">
        <w:rPr>
          <w:rFonts w:ascii="Palatino Linotype" w:hAnsi="Palatino Linotype"/>
          <w:bCs/>
          <w:sz w:val="22"/>
          <w:szCs w:val="22"/>
        </w:rPr>
        <w:t xml:space="preserve"> federal share </w:t>
      </w:r>
      <w:r w:rsidR="001B79B0">
        <w:rPr>
          <w:rFonts w:ascii="Palatino Linotype" w:hAnsi="Palatino Linotype"/>
          <w:bCs/>
          <w:sz w:val="22"/>
          <w:szCs w:val="22"/>
        </w:rPr>
        <w:t xml:space="preserve">for </w:t>
      </w:r>
      <w:r w:rsidR="00D25E3E">
        <w:rPr>
          <w:rFonts w:ascii="Palatino Linotype" w:hAnsi="Palatino Linotype"/>
          <w:bCs/>
          <w:sz w:val="22"/>
          <w:szCs w:val="22"/>
        </w:rPr>
        <w:t>Lesser Population Density or Income waiver</w:t>
      </w:r>
      <w:r w:rsidR="00B34A3B">
        <w:rPr>
          <w:rFonts w:ascii="Palatino Linotype" w:hAnsi="Palatino Linotype"/>
          <w:bCs/>
          <w:sz w:val="22"/>
          <w:szCs w:val="22"/>
        </w:rPr>
        <w:t xml:space="preserve"> or the Complete Streets 100% federal share waiver</w:t>
      </w:r>
      <w:r>
        <w:rPr>
          <w:rFonts w:ascii="Palatino Linotype" w:hAnsi="Palatino Linotype"/>
          <w:bCs/>
          <w:sz w:val="22"/>
          <w:szCs w:val="22"/>
        </w:rPr>
        <w:t>. This project information sheet(s)</w:t>
      </w:r>
      <w:r w:rsidR="00D25E3E">
        <w:rPr>
          <w:rFonts w:ascii="Palatino Linotype" w:hAnsi="Palatino Linotype"/>
          <w:bCs/>
          <w:sz w:val="22"/>
          <w:szCs w:val="22"/>
        </w:rPr>
        <w:t xml:space="preserve"> </w:t>
      </w:r>
      <w:r w:rsidR="00CB1F4A">
        <w:rPr>
          <w:rFonts w:ascii="Palatino Linotype" w:hAnsi="Palatino Linotype"/>
          <w:bCs/>
          <w:sz w:val="22"/>
          <w:szCs w:val="22"/>
        </w:rPr>
        <w:t xml:space="preserve">should be included within the UPWP </w:t>
      </w:r>
      <w:r>
        <w:rPr>
          <w:rFonts w:ascii="Palatino Linotype" w:hAnsi="Palatino Linotype"/>
          <w:bCs/>
          <w:sz w:val="22"/>
          <w:szCs w:val="22"/>
        </w:rPr>
        <w:t>and should contain:</w:t>
      </w:r>
      <w:r w:rsidR="00CB1F4A">
        <w:rPr>
          <w:rFonts w:ascii="Palatino Linotype" w:hAnsi="Palatino Linotype"/>
          <w:bCs/>
          <w:sz w:val="22"/>
          <w:szCs w:val="22"/>
        </w:rPr>
        <w:t xml:space="preserve"> </w:t>
      </w:r>
    </w:p>
    <w:p w14:paraId="1190D221" w14:textId="513A4C34" w:rsidR="00B34A3B" w:rsidRPr="00B34A3B" w:rsidRDefault="00B34A3B" w:rsidP="009F036E">
      <w:pPr>
        <w:pStyle w:val="ListParagraph"/>
        <w:numPr>
          <w:ilvl w:val="1"/>
          <w:numId w:val="25"/>
        </w:numPr>
        <w:spacing w:after="160" w:line="259" w:lineRule="auto"/>
        <w:rPr>
          <w:rFonts w:ascii="Palatino Linotype" w:hAnsi="Palatino Linotype"/>
          <w:bCs/>
          <w:sz w:val="22"/>
          <w:szCs w:val="22"/>
        </w:rPr>
      </w:pPr>
      <w:r>
        <w:rPr>
          <w:rFonts w:ascii="Palatino Linotype" w:hAnsi="Palatino Linotype"/>
          <w:bCs/>
          <w:sz w:val="22"/>
          <w:szCs w:val="22"/>
        </w:rPr>
        <w:t>D</w:t>
      </w:r>
      <w:r w:rsidRPr="00B34A3B">
        <w:rPr>
          <w:rFonts w:ascii="Palatino Linotype" w:hAnsi="Palatino Linotype"/>
          <w:bCs/>
          <w:sz w:val="22"/>
          <w:szCs w:val="22"/>
        </w:rPr>
        <w:t xml:space="preserve">escription of planning activity, project, or program </w:t>
      </w:r>
    </w:p>
    <w:p w14:paraId="6D904E19" w14:textId="19439341" w:rsidR="009F036E" w:rsidRPr="00B34A3B" w:rsidRDefault="00B34A3B" w:rsidP="009F036E">
      <w:pPr>
        <w:pStyle w:val="ListParagraph"/>
        <w:numPr>
          <w:ilvl w:val="1"/>
          <w:numId w:val="25"/>
        </w:numPr>
        <w:spacing w:after="160" w:line="259" w:lineRule="auto"/>
        <w:rPr>
          <w:rFonts w:ascii="Palatino Linotype" w:hAnsi="Palatino Linotype"/>
          <w:bCs/>
          <w:sz w:val="22"/>
          <w:szCs w:val="22"/>
        </w:rPr>
      </w:pPr>
      <w:r w:rsidRPr="00B34A3B">
        <w:rPr>
          <w:rFonts w:ascii="Palatino Linotype" w:hAnsi="Palatino Linotype"/>
          <w:bCs/>
          <w:sz w:val="22"/>
          <w:szCs w:val="22"/>
        </w:rPr>
        <w:t>E</w:t>
      </w:r>
      <w:r w:rsidR="009F036E" w:rsidRPr="00B34A3B">
        <w:rPr>
          <w:rFonts w:ascii="Palatino Linotype" w:hAnsi="Palatino Linotype"/>
          <w:bCs/>
          <w:sz w:val="22"/>
          <w:szCs w:val="22"/>
        </w:rPr>
        <w:t xml:space="preserve">xplain how </w:t>
      </w:r>
      <w:r>
        <w:rPr>
          <w:rFonts w:ascii="Palatino Linotype" w:hAnsi="Palatino Linotype"/>
          <w:bCs/>
          <w:sz w:val="22"/>
          <w:szCs w:val="22"/>
        </w:rPr>
        <w:t xml:space="preserve">the </w:t>
      </w:r>
      <w:r w:rsidR="009F036E" w:rsidRPr="00B34A3B">
        <w:rPr>
          <w:rFonts w:ascii="Palatino Linotype" w:hAnsi="Palatino Linotype"/>
          <w:bCs/>
          <w:sz w:val="22"/>
          <w:szCs w:val="22"/>
        </w:rPr>
        <w:t xml:space="preserve">increased federal share for transportation planning activities benefits commuting and other essential travel in parts of the applicable urbanized area or rural area. </w:t>
      </w:r>
    </w:p>
    <w:p w14:paraId="0808865F" w14:textId="541C0F63" w:rsidR="00B34A3B" w:rsidRDefault="00B34A3B" w:rsidP="009F036E">
      <w:pPr>
        <w:pStyle w:val="ListParagraph"/>
        <w:numPr>
          <w:ilvl w:val="1"/>
          <w:numId w:val="25"/>
        </w:numPr>
        <w:spacing w:after="160" w:line="259" w:lineRule="auto"/>
        <w:rPr>
          <w:rFonts w:ascii="Palatino Linotype" w:hAnsi="Palatino Linotype"/>
          <w:bCs/>
          <w:sz w:val="22"/>
          <w:szCs w:val="22"/>
        </w:rPr>
      </w:pPr>
      <w:r w:rsidRPr="00B34A3B">
        <w:rPr>
          <w:rFonts w:ascii="Palatino Linotype" w:hAnsi="Palatino Linotype"/>
          <w:bCs/>
          <w:sz w:val="22"/>
          <w:szCs w:val="22"/>
        </w:rPr>
        <w:t>Are optional mobility or access performance measures being utilized? If so, what is the measure(s)?</w:t>
      </w:r>
    </w:p>
    <w:p w14:paraId="6A79EE2E" w14:textId="4DB9E620" w:rsidR="00CB1F4A" w:rsidRPr="003925C3" w:rsidRDefault="009F036E" w:rsidP="00B34A3B">
      <w:pPr>
        <w:pStyle w:val="ListParagraph"/>
        <w:numPr>
          <w:ilvl w:val="1"/>
          <w:numId w:val="25"/>
        </w:numPr>
        <w:spacing w:after="160" w:line="259" w:lineRule="auto"/>
        <w:rPr>
          <w:rFonts w:ascii="Palatino Linotype" w:hAnsi="Palatino Linotype"/>
          <w:bCs/>
          <w:sz w:val="22"/>
          <w:szCs w:val="22"/>
        </w:rPr>
      </w:pPr>
      <w:r>
        <w:rPr>
          <w:rFonts w:ascii="Palatino Linotype" w:hAnsi="Palatino Linotype"/>
          <w:bCs/>
          <w:sz w:val="22"/>
          <w:szCs w:val="22"/>
        </w:rPr>
        <w:t xml:space="preserve">If the project is seeking the 90% federal match applicable for the Lesser Population Density or Income waiver, a separate mapping tool page must also be included to further demonstrate eligibility. </w:t>
      </w:r>
      <w:r w:rsidR="00CB1F4A">
        <w:rPr>
          <w:rFonts w:ascii="Palatino Linotype" w:hAnsi="Palatino Linotype"/>
          <w:bCs/>
          <w:sz w:val="22"/>
          <w:szCs w:val="22"/>
        </w:rPr>
        <w:t xml:space="preserve">Instructions for that separate mapping tool </w:t>
      </w:r>
      <w:r w:rsidR="00D25E3E">
        <w:rPr>
          <w:rFonts w:ascii="Palatino Linotype" w:hAnsi="Palatino Linotype"/>
          <w:bCs/>
          <w:sz w:val="22"/>
          <w:szCs w:val="22"/>
        </w:rPr>
        <w:t>ar</w:t>
      </w:r>
      <w:r w:rsidR="00CB1F4A">
        <w:rPr>
          <w:rFonts w:ascii="Palatino Linotype" w:hAnsi="Palatino Linotype"/>
          <w:bCs/>
          <w:sz w:val="22"/>
          <w:szCs w:val="22"/>
        </w:rPr>
        <w:t xml:space="preserve">e found in </w:t>
      </w:r>
      <w:r w:rsidR="00CB1F4A" w:rsidRPr="00053F62">
        <w:rPr>
          <w:rFonts w:ascii="Palatino Linotype" w:hAnsi="Palatino Linotype"/>
          <w:b/>
          <w:sz w:val="22"/>
          <w:szCs w:val="22"/>
        </w:rPr>
        <w:t>Appendix A.</w:t>
      </w:r>
    </w:p>
    <w:p w14:paraId="1FD4F24E" w14:textId="77777777" w:rsidR="00751F82" w:rsidRDefault="00751F82" w:rsidP="00751F82">
      <w:pPr>
        <w:pStyle w:val="ListParagraph"/>
        <w:spacing w:after="160" w:line="259" w:lineRule="auto"/>
        <w:ind w:left="1440"/>
        <w:rPr>
          <w:rFonts w:ascii="Palatino Linotype" w:hAnsi="Palatino Linotype"/>
          <w:b/>
          <w:sz w:val="22"/>
          <w:szCs w:val="22"/>
        </w:rPr>
      </w:pPr>
    </w:p>
    <w:p w14:paraId="6BED9685" w14:textId="77777777" w:rsidR="00751F82" w:rsidRPr="003925C3" w:rsidRDefault="00751F82" w:rsidP="003925C3">
      <w:pPr>
        <w:pStyle w:val="ListParagraph"/>
        <w:spacing w:after="160" w:line="259" w:lineRule="auto"/>
        <w:ind w:left="1440"/>
        <w:rPr>
          <w:rFonts w:ascii="Palatino Linotype" w:hAnsi="Palatino Linotype"/>
          <w:bCs/>
          <w:sz w:val="22"/>
          <w:szCs w:val="22"/>
        </w:rPr>
      </w:pPr>
    </w:p>
    <w:p w14:paraId="25EA34FD" w14:textId="77777777" w:rsidR="00171CF4" w:rsidRPr="003925C3" w:rsidRDefault="00171CF4" w:rsidP="003925C3">
      <w:pPr>
        <w:pStyle w:val="ListParagraph"/>
        <w:spacing w:after="160" w:line="259" w:lineRule="auto"/>
        <w:ind w:left="1440"/>
        <w:rPr>
          <w:rFonts w:ascii="Palatino Linotype" w:hAnsi="Palatino Linotype"/>
          <w:bCs/>
          <w:sz w:val="22"/>
          <w:szCs w:val="22"/>
        </w:rPr>
      </w:pPr>
    </w:p>
    <w:p w14:paraId="24A847FF" w14:textId="41BB4CC0" w:rsidR="00171CF4" w:rsidRPr="003925C3" w:rsidRDefault="001D0E1E" w:rsidP="00171CF4">
      <w:pPr>
        <w:pStyle w:val="ListParagraph"/>
        <w:numPr>
          <w:ilvl w:val="0"/>
          <w:numId w:val="29"/>
        </w:numPr>
        <w:spacing w:after="160" w:line="259" w:lineRule="auto"/>
        <w:rPr>
          <w:rFonts w:ascii="Palatino Linotype" w:hAnsi="Palatino Linotype"/>
          <w:b/>
          <w:sz w:val="22"/>
          <w:szCs w:val="22"/>
        </w:rPr>
      </w:pPr>
      <w:r>
        <w:rPr>
          <w:rFonts w:ascii="Palatino Linotype" w:hAnsi="Palatino Linotype"/>
          <w:b/>
          <w:sz w:val="22"/>
          <w:szCs w:val="22"/>
        </w:rPr>
        <w:t xml:space="preserve">IMD </w:t>
      </w:r>
      <w:r w:rsidR="00171CF4" w:rsidRPr="003925C3">
        <w:rPr>
          <w:rFonts w:ascii="Palatino Linotype" w:hAnsi="Palatino Linotype"/>
          <w:b/>
          <w:sz w:val="22"/>
          <w:szCs w:val="22"/>
        </w:rPr>
        <w:t xml:space="preserve">EBS Application </w:t>
      </w:r>
      <w:r w:rsidR="00171CF4">
        <w:rPr>
          <w:rFonts w:ascii="Palatino Linotype" w:hAnsi="Palatino Linotype"/>
          <w:b/>
          <w:sz w:val="22"/>
          <w:szCs w:val="22"/>
        </w:rPr>
        <w:t xml:space="preserve">Match </w:t>
      </w:r>
      <w:r w:rsidR="00171CF4" w:rsidRPr="003925C3">
        <w:rPr>
          <w:rFonts w:ascii="Palatino Linotype" w:hAnsi="Palatino Linotype"/>
          <w:b/>
          <w:sz w:val="22"/>
          <w:szCs w:val="22"/>
        </w:rPr>
        <w:t>Percentages</w:t>
      </w:r>
    </w:p>
    <w:p w14:paraId="42AB1353" w14:textId="33E14285" w:rsidR="00171CF4" w:rsidRDefault="00171CF4" w:rsidP="00171CF4">
      <w:pPr>
        <w:pStyle w:val="ListParagraph"/>
        <w:spacing w:after="160" w:line="259" w:lineRule="auto"/>
        <w:rPr>
          <w:rFonts w:ascii="Palatino Linotype" w:hAnsi="Palatino Linotype"/>
          <w:bCs/>
          <w:sz w:val="22"/>
          <w:szCs w:val="22"/>
        </w:rPr>
      </w:pPr>
      <w:r>
        <w:rPr>
          <w:rFonts w:ascii="Palatino Linotype" w:hAnsi="Palatino Linotype"/>
          <w:bCs/>
          <w:sz w:val="22"/>
          <w:szCs w:val="22"/>
        </w:rPr>
        <w:t xml:space="preserve">When creating the EBS application for these funds, please be aware that the funding percentages must be </w:t>
      </w:r>
      <w:r w:rsidRPr="003925C3">
        <w:rPr>
          <w:rFonts w:ascii="Palatino Linotype" w:hAnsi="Palatino Linotype"/>
          <w:b/>
          <w:sz w:val="22"/>
          <w:szCs w:val="22"/>
          <w:u w:val="single"/>
        </w:rPr>
        <w:t>manually</w:t>
      </w:r>
      <w:r>
        <w:rPr>
          <w:rFonts w:ascii="Palatino Linotype" w:hAnsi="Palatino Linotype"/>
          <w:bCs/>
          <w:sz w:val="22"/>
          <w:szCs w:val="22"/>
        </w:rPr>
        <w:t xml:space="preserve"> entered into EBS. </w:t>
      </w:r>
      <w:r w:rsidR="000B23B1">
        <w:rPr>
          <w:rFonts w:ascii="Palatino Linotype" w:hAnsi="Palatino Linotype"/>
          <w:bCs/>
          <w:sz w:val="22"/>
          <w:szCs w:val="22"/>
        </w:rPr>
        <w:t xml:space="preserve">The following table </w:t>
      </w:r>
      <w:r w:rsidR="004A0EE9">
        <w:rPr>
          <w:rFonts w:ascii="Palatino Linotype" w:hAnsi="Palatino Linotype"/>
          <w:bCs/>
          <w:sz w:val="22"/>
          <w:szCs w:val="22"/>
        </w:rPr>
        <w:t>shows the appropriate match percentages for each waiver type.</w:t>
      </w:r>
    </w:p>
    <w:p w14:paraId="521261DD" w14:textId="77777777" w:rsidR="000B23B1" w:rsidRDefault="000B23B1" w:rsidP="00171CF4">
      <w:pPr>
        <w:pStyle w:val="ListParagraph"/>
        <w:spacing w:after="160" w:line="259" w:lineRule="auto"/>
        <w:rPr>
          <w:rFonts w:ascii="Palatino Linotype" w:hAnsi="Palatino Linotype"/>
          <w:bCs/>
          <w:sz w:val="22"/>
          <w:szCs w:val="22"/>
        </w:rPr>
      </w:pPr>
    </w:p>
    <w:tbl>
      <w:tblPr>
        <w:tblStyle w:val="TableGrid"/>
        <w:tblW w:w="0" w:type="auto"/>
        <w:tblInd w:w="720" w:type="dxa"/>
        <w:tblLook w:val="04A0" w:firstRow="1" w:lastRow="0" w:firstColumn="1" w:lastColumn="0" w:noHBand="0" w:noVBand="1"/>
      </w:tblPr>
      <w:tblGrid>
        <w:gridCol w:w="3325"/>
        <w:gridCol w:w="3330"/>
      </w:tblGrid>
      <w:tr w:rsidR="000B23B1" w14:paraId="3B0FB818" w14:textId="77777777" w:rsidTr="003925C3">
        <w:tc>
          <w:tcPr>
            <w:tcW w:w="3325" w:type="dxa"/>
            <w:shd w:val="clear" w:color="auto" w:fill="B4C6E7" w:themeFill="accent1" w:themeFillTint="66"/>
          </w:tcPr>
          <w:p w14:paraId="47AEB852" w14:textId="2C20C6E3" w:rsidR="000B23B1" w:rsidRPr="003925C3" w:rsidRDefault="000B23B1" w:rsidP="003925C3">
            <w:pPr>
              <w:pStyle w:val="ListParagraph"/>
              <w:spacing w:after="160" w:line="259" w:lineRule="auto"/>
              <w:ind w:left="0"/>
              <w:jc w:val="center"/>
              <w:rPr>
                <w:rFonts w:ascii="Palatino Linotype" w:hAnsi="Palatino Linotype"/>
                <w:b/>
                <w:sz w:val="22"/>
                <w:szCs w:val="22"/>
              </w:rPr>
            </w:pPr>
            <w:r w:rsidRPr="003925C3">
              <w:rPr>
                <w:rFonts w:ascii="Palatino Linotype" w:hAnsi="Palatino Linotype"/>
                <w:b/>
                <w:sz w:val="22"/>
                <w:szCs w:val="22"/>
              </w:rPr>
              <w:t>Waiver Type</w:t>
            </w:r>
          </w:p>
        </w:tc>
        <w:tc>
          <w:tcPr>
            <w:tcW w:w="3330" w:type="dxa"/>
            <w:shd w:val="clear" w:color="auto" w:fill="B4C6E7" w:themeFill="accent1" w:themeFillTint="66"/>
          </w:tcPr>
          <w:p w14:paraId="14E1F7BC" w14:textId="7ABA9817" w:rsidR="000B23B1" w:rsidRPr="003925C3" w:rsidRDefault="000B23B1" w:rsidP="003925C3">
            <w:pPr>
              <w:pStyle w:val="ListParagraph"/>
              <w:spacing w:after="160" w:line="259" w:lineRule="auto"/>
              <w:ind w:left="0"/>
              <w:jc w:val="center"/>
              <w:rPr>
                <w:rFonts w:ascii="Palatino Linotype" w:hAnsi="Palatino Linotype"/>
                <w:b/>
                <w:sz w:val="22"/>
                <w:szCs w:val="22"/>
              </w:rPr>
            </w:pPr>
            <w:r w:rsidRPr="003925C3">
              <w:rPr>
                <w:rFonts w:ascii="Palatino Linotype" w:hAnsi="Palatino Linotype"/>
                <w:b/>
                <w:sz w:val="22"/>
                <w:szCs w:val="22"/>
              </w:rPr>
              <w:t>Match Percentages</w:t>
            </w:r>
          </w:p>
        </w:tc>
      </w:tr>
      <w:tr w:rsidR="000B23B1" w14:paraId="07E1825A" w14:textId="77777777" w:rsidTr="003925C3">
        <w:tc>
          <w:tcPr>
            <w:tcW w:w="3325" w:type="dxa"/>
          </w:tcPr>
          <w:p w14:paraId="0DDA78F9" w14:textId="5B97FDBA" w:rsidR="000B23B1" w:rsidRPr="000B23B1" w:rsidRDefault="000B23B1" w:rsidP="003925C3">
            <w:pPr>
              <w:pStyle w:val="ListParagraph"/>
              <w:numPr>
                <w:ilvl w:val="0"/>
                <w:numId w:val="37"/>
              </w:numPr>
              <w:spacing w:after="160" w:line="259" w:lineRule="auto"/>
              <w:ind w:left="330" w:hanging="270"/>
              <w:rPr>
                <w:rFonts w:ascii="Palatino Linotype" w:hAnsi="Palatino Linotype"/>
                <w:bCs/>
                <w:sz w:val="22"/>
                <w:szCs w:val="22"/>
              </w:rPr>
            </w:pPr>
            <w:r w:rsidRPr="003925C3">
              <w:rPr>
                <w:rFonts w:ascii="Palatino Linotype" w:hAnsi="Palatino Linotype"/>
                <w:bCs/>
                <w:sz w:val="22"/>
                <w:szCs w:val="22"/>
              </w:rPr>
              <w:t>Complete Streets waiver</w:t>
            </w:r>
          </w:p>
        </w:tc>
        <w:tc>
          <w:tcPr>
            <w:tcW w:w="3330" w:type="dxa"/>
          </w:tcPr>
          <w:p w14:paraId="115FA334" w14:textId="13E691FF" w:rsidR="000B23B1" w:rsidRDefault="000B23B1" w:rsidP="003925C3">
            <w:pPr>
              <w:spacing w:after="160" w:line="259" w:lineRule="auto"/>
              <w:rPr>
                <w:rFonts w:ascii="Palatino Linotype" w:hAnsi="Palatino Linotype"/>
                <w:bCs/>
                <w:sz w:val="22"/>
                <w:szCs w:val="22"/>
              </w:rPr>
            </w:pPr>
            <w:r w:rsidRPr="003925C3">
              <w:rPr>
                <w:rFonts w:ascii="Palatino Linotype" w:hAnsi="Palatino Linotype"/>
                <w:bCs/>
                <w:sz w:val="22"/>
                <w:szCs w:val="22"/>
              </w:rPr>
              <w:t>100% Federal fundin</w:t>
            </w:r>
            <w:r>
              <w:rPr>
                <w:rFonts w:ascii="Palatino Linotype" w:hAnsi="Palatino Linotype"/>
                <w:bCs/>
                <w:sz w:val="22"/>
                <w:szCs w:val="22"/>
              </w:rPr>
              <w:t>g</w:t>
            </w:r>
            <w:r>
              <w:rPr>
                <w:rFonts w:ascii="Palatino Linotype" w:hAnsi="Palatino Linotype"/>
                <w:bCs/>
                <w:sz w:val="22"/>
                <w:szCs w:val="22"/>
              </w:rPr>
              <w:br/>
            </w:r>
            <w:r w:rsidRPr="003925C3">
              <w:rPr>
                <w:rFonts w:ascii="Palatino Linotype" w:hAnsi="Palatino Linotype"/>
                <w:bCs/>
                <w:sz w:val="22"/>
                <w:szCs w:val="22"/>
              </w:rPr>
              <w:t>0% state funding</w:t>
            </w:r>
            <w:r>
              <w:rPr>
                <w:rFonts w:ascii="Palatino Linotype" w:hAnsi="Palatino Linotype"/>
                <w:bCs/>
                <w:sz w:val="22"/>
                <w:szCs w:val="22"/>
              </w:rPr>
              <w:br/>
            </w:r>
            <w:r w:rsidRPr="003925C3">
              <w:rPr>
                <w:rFonts w:ascii="Palatino Linotype" w:hAnsi="Palatino Linotype"/>
                <w:bCs/>
                <w:sz w:val="22"/>
                <w:szCs w:val="22"/>
              </w:rPr>
              <w:t>0% local funding</w:t>
            </w:r>
          </w:p>
        </w:tc>
      </w:tr>
      <w:tr w:rsidR="000B23B1" w14:paraId="3C22A209" w14:textId="77777777" w:rsidTr="003925C3">
        <w:tc>
          <w:tcPr>
            <w:tcW w:w="3325" w:type="dxa"/>
          </w:tcPr>
          <w:p w14:paraId="5B048DEB" w14:textId="24D74104" w:rsidR="000B23B1" w:rsidRPr="000B23B1" w:rsidRDefault="000B23B1" w:rsidP="003925C3">
            <w:pPr>
              <w:pStyle w:val="ListParagraph"/>
              <w:numPr>
                <w:ilvl w:val="0"/>
                <w:numId w:val="37"/>
              </w:numPr>
              <w:spacing w:after="160" w:line="259" w:lineRule="auto"/>
              <w:ind w:left="330" w:hanging="270"/>
              <w:rPr>
                <w:rFonts w:ascii="Palatino Linotype" w:hAnsi="Palatino Linotype"/>
                <w:bCs/>
                <w:sz w:val="22"/>
                <w:szCs w:val="22"/>
              </w:rPr>
            </w:pPr>
            <w:r w:rsidRPr="003925C3">
              <w:rPr>
                <w:rFonts w:ascii="Palatino Linotype" w:hAnsi="Palatino Linotype"/>
                <w:bCs/>
                <w:sz w:val="22"/>
                <w:szCs w:val="22"/>
              </w:rPr>
              <w:t>Lesser Population Density or Income waiver</w:t>
            </w:r>
          </w:p>
        </w:tc>
        <w:tc>
          <w:tcPr>
            <w:tcW w:w="3330" w:type="dxa"/>
          </w:tcPr>
          <w:p w14:paraId="58C562EF" w14:textId="55CCB1C0" w:rsidR="000B23B1" w:rsidRDefault="000B23B1" w:rsidP="003925C3">
            <w:pPr>
              <w:spacing w:after="160" w:line="259" w:lineRule="auto"/>
              <w:rPr>
                <w:rFonts w:ascii="Palatino Linotype" w:hAnsi="Palatino Linotype"/>
                <w:bCs/>
                <w:sz w:val="22"/>
                <w:szCs w:val="22"/>
              </w:rPr>
            </w:pPr>
            <w:r w:rsidRPr="003925C3">
              <w:rPr>
                <w:rFonts w:ascii="Palatino Linotype" w:hAnsi="Palatino Linotype"/>
                <w:bCs/>
                <w:sz w:val="22"/>
                <w:szCs w:val="22"/>
              </w:rPr>
              <w:t>90% Federal funding</w:t>
            </w:r>
            <w:r>
              <w:rPr>
                <w:rFonts w:ascii="Palatino Linotype" w:hAnsi="Palatino Linotype"/>
                <w:bCs/>
                <w:sz w:val="22"/>
                <w:szCs w:val="22"/>
              </w:rPr>
              <w:br/>
            </w:r>
            <w:r w:rsidRPr="003925C3">
              <w:rPr>
                <w:rFonts w:ascii="Palatino Linotype" w:hAnsi="Palatino Linotype"/>
                <w:bCs/>
                <w:sz w:val="22"/>
                <w:szCs w:val="22"/>
              </w:rPr>
              <w:t>5% state funding</w:t>
            </w:r>
            <w:r>
              <w:rPr>
                <w:rFonts w:ascii="Palatino Linotype" w:hAnsi="Palatino Linotype"/>
                <w:bCs/>
                <w:sz w:val="22"/>
                <w:szCs w:val="22"/>
              </w:rPr>
              <w:br/>
            </w:r>
            <w:r w:rsidRPr="003925C3">
              <w:rPr>
                <w:rFonts w:ascii="Palatino Linotype" w:hAnsi="Palatino Linotype"/>
                <w:bCs/>
                <w:sz w:val="22"/>
                <w:szCs w:val="22"/>
              </w:rPr>
              <w:t>5% local funding</w:t>
            </w:r>
          </w:p>
        </w:tc>
      </w:tr>
    </w:tbl>
    <w:p w14:paraId="34302602" w14:textId="77777777" w:rsidR="000B23B1" w:rsidRDefault="000B23B1" w:rsidP="00171CF4">
      <w:pPr>
        <w:pStyle w:val="ListParagraph"/>
        <w:spacing w:after="160" w:line="259" w:lineRule="auto"/>
        <w:rPr>
          <w:rFonts w:ascii="Palatino Linotype" w:hAnsi="Palatino Linotype"/>
          <w:bCs/>
          <w:sz w:val="22"/>
          <w:szCs w:val="22"/>
        </w:rPr>
      </w:pPr>
    </w:p>
    <w:p w14:paraId="6FE5BD36" w14:textId="275941FB" w:rsidR="001C4561" w:rsidRDefault="001C4561" w:rsidP="007C6588">
      <w:pPr>
        <w:pStyle w:val="Caption"/>
        <w:spacing w:before="120" w:after="120" w:afterAutospacing="0"/>
      </w:pPr>
      <w:r>
        <w:t>Period of Performance</w:t>
      </w:r>
    </w:p>
    <w:p w14:paraId="5B98B02F" w14:textId="084C7F2F" w:rsidR="001C4561" w:rsidRPr="00AA4660" w:rsidRDefault="00DA772F" w:rsidP="001C4561">
      <w:pPr>
        <w:widowControl w:val="0"/>
        <w:autoSpaceDE w:val="0"/>
        <w:autoSpaceDN w:val="0"/>
        <w:adjustRightInd w:val="0"/>
        <w:spacing w:after="100" w:afterAutospacing="1" w:line="273" w:lineRule="atLeast"/>
        <w:rPr>
          <w:rFonts w:ascii="Palatino Linotype" w:hAnsi="Palatino Linotype"/>
          <w:snapToGrid w:val="0"/>
          <w:sz w:val="22"/>
          <w:szCs w:val="22"/>
        </w:rPr>
      </w:pPr>
      <w:r w:rsidRPr="00AA4660">
        <w:rPr>
          <w:rFonts w:ascii="Palatino Linotype" w:hAnsi="Palatino Linotype"/>
          <w:snapToGrid w:val="0"/>
          <w:sz w:val="22"/>
          <w:szCs w:val="22"/>
        </w:rPr>
        <w:t>The performance period for this grant is July 1, 202</w:t>
      </w:r>
      <w:r w:rsidR="004D23CE">
        <w:rPr>
          <w:rFonts w:ascii="Palatino Linotype" w:hAnsi="Palatino Linotype"/>
          <w:snapToGrid w:val="0"/>
          <w:sz w:val="22"/>
          <w:szCs w:val="22"/>
        </w:rPr>
        <w:t>6</w:t>
      </w:r>
      <w:r w:rsidRPr="00AA4660">
        <w:rPr>
          <w:rFonts w:ascii="Palatino Linotype" w:hAnsi="Palatino Linotype"/>
          <w:snapToGrid w:val="0"/>
          <w:sz w:val="22"/>
          <w:szCs w:val="22"/>
        </w:rPr>
        <w:t xml:space="preserve"> – June 30, 202</w:t>
      </w:r>
      <w:r w:rsidR="004D23CE">
        <w:rPr>
          <w:rFonts w:ascii="Palatino Linotype" w:hAnsi="Palatino Linotype"/>
          <w:snapToGrid w:val="0"/>
          <w:sz w:val="22"/>
          <w:szCs w:val="22"/>
        </w:rPr>
        <w:t>7</w:t>
      </w:r>
      <w:r w:rsidR="00A02584">
        <w:rPr>
          <w:rFonts w:ascii="Palatino Linotype" w:hAnsi="Palatino Linotype"/>
          <w:snapToGrid w:val="0"/>
          <w:sz w:val="22"/>
          <w:szCs w:val="22"/>
        </w:rPr>
        <w:t>, regardless of the IMD contract date</w:t>
      </w:r>
      <w:r w:rsidR="00E50CF0">
        <w:rPr>
          <w:rFonts w:ascii="Palatino Linotype" w:hAnsi="Palatino Linotype"/>
          <w:snapToGrid w:val="0"/>
          <w:sz w:val="22"/>
          <w:szCs w:val="22"/>
        </w:rPr>
        <w:t>.</w:t>
      </w:r>
    </w:p>
    <w:p w14:paraId="5CC007E6" w14:textId="788B33AF" w:rsidR="001C4561" w:rsidRDefault="00B959F9" w:rsidP="001C4561">
      <w:pPr>
        <w:widowControl w:val="0"/>
        <w:autoSpaceDE w:val="0"/>
        <w:autoSpaceDN w:val="0"/>
        <w:adjustRightInd w:val="0"/>
        <w:spacing w:after="100" w:afterAutospacing="1" w:line="273" w:lineRule="atLeast"/>
        <w:rPr>
          <w:rFonts w:ascii="Palatino Linotype" w:hAnsi="Palatino Linotype"/>
          <w:b/>
          <w:bCs/>
          <w:snapToGrid w:val="0"/>
          <w:color w:val="00006A"/>
          <w:sz w:val="28"/>
          <w:szCs w:val="28"/>
        </w:rPr>
      </w:pPr>
      <w:r>
        <w:rPr>
          <w:rFonts w:ascii="Palatino Linotype" w:hAnsi="Palatino Linotype" w:cs="Lucida Sans Unicode"/>
          <w:noProof/>
          <w:sz w:val="22"/>
          <w:szCs w:val="22"/>
        </w:rPr>
        <mc:AlternateContent>
          <mc:Choice Requires="wps">
            <w:drawing>
              <wp:anchor distT="0" distB="0" distL="114300" distR="114300" simplePos="0" relativeHeight="251662337" behindDoc="0" locked="0" layoutInCell="1" allowOverlap="1" wp14:anchorId="50A06909" wp14:editId="18D0740A">
                <wp:simplePos x="0" y="0"/>
                <wp:positionH relativeFrom="margin">
                  <wp:posOffset>-47625</wp:posOffset>
                </wp:positionH>
                <wp:positionV relativeFrom="paragraph">
                  <wp:posOffset>295275</wp:posOffset>
                </wp:positionV>
                <wp:extent cx="6181090" cy="0"/>
                <wp:effectExtent l="0" t="19050" r="29210" b="19050"/>
                <wp:wrapNone/>
                <wp:docPr id="76916464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1090" cy="0"/>
                        </a:xfrm>
                        <a:prstGeom prst="line">
                          <a:avLst/>
                        </a:prstGeom>
                        <a:noFill/>
                        <a:ln w="38100" cmpd="dbl">
                          <a:solidFill>
                            <a:srgbClr val="9966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052EF" id="Line 2" o:spid="_x0000_s1026" style="position:absolute;z-index:2516623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75pt,23.25pt" to="482.9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" strokecolor="#960" strokeweight="3pt">
                <v:stroke linestyle="thinThin"/>
                <w10:wrap anchorx="margin"/>
              </v:line>
            </w:pict>
          </mc:Fallback>
        </mc:AlternateContent>
      </w:r>
      <w:r w:rsidR="001C4561">
        <w:rPr>
          <w:rFonts w:ascii="Palatino Linotype" w:hAnsi="Palatino Linotype"/>
          <w:b/>
          <w:bCs/>
          <w:snapToGrid w:val="0"/>
          <w:color w:val="00006A"/>
          <w:sz w:val="28"/>
          <w:szCs w:val="28"/>
        </w:rPr>
        <w:t>Program Monitoring, Oversight, and Exclusions</w:t>
      </w:r>
    </w:p>
    <w:p w14:paraId="4DFBEC94" w14:textId="2D678CA4" w:rsidR="001C4561" w:rsidRDefault="001C4561" w:rsidP="001C4561">
      <w:pPr>
        <w:widowControl w:val="0"/>
        <w:autoSpaceDE w:val="0"/>
        <w:autoSpaceDN w:val="0"/>
        <w:adjustRightInd w:val="0"/>
        <w:spacing w:after="100" w:afterAutospacing="1" w:line="273" w:lineRule="atLeast"/>
        <w:rPr>
          <w:rFonts w:ascii="Palatino Linotype" w:hAnsi="Palatino Linotype"/>
          <w:snapToGrid w:val="0"/>
          <w:sz w:val="22"/>
          <w:szCs w:val="22"/>
        </w:rPr>
      </w:pPr>
      <w:bookmarkStart w:id="1" w:name="_Hlk63071988"/>
      <w:r>
        <w:rPr>
          <w:rFonts w:ascii="Palatino Linotype" w:hAnsi="Palatino Linotype"/>
          <w:snapToGrid w:val="0"/>
          <w:sz w:val="22"/>
          <w:szCs w:val="22"/>
        </w:rPr>
        <w:t xml:space="preserve">The </w:t>
      </w:r>
      <w:r w:rsidR="00E910CE" w:rsidRPr="000026EA">
        <w:rPr>
          <w:rFonts w:ascii="Palatino Linotype" w:hAnsi="Palatino Linotype"/>
          <w:snapToGrid w:val="0"/>
          <w:sz w:val="22"/>
          <w:szCs w:val="22"/>
        </w:rPr>
        <w:t>Regional Grant Specialists</w:t>
      </w:r>
      <w:r>
        <w:rPr>
          <w:rFonts w:ascii="Palatino Linotype" w:hAnsi="Palatino Linotype"/>
          <w:snapToGrid w:val="0"/>
          <w:sz w:val="22"/>
          <w:szCs w:val="22"/>
        </w:rPr>
        <w:t xml:space="preserve"> from the N.C. Department of Transportation</w:t>
      </w:r>
      <w:r w:rsidR="00E910CE">
        <w:rPr>
          <w:rFonts w:ascii="Palatino Linotype" w:hAnsi="Palatino Linotype"/>
          <w:snapToGrid w:val="0"/>
          <w:sz w:val="22"/>
          <w:szCs w:val="22"/>
        </w:rPr>
        <w:t>-Integrated Mobility Division</w:t>
      </w:r>
      <w:r>
        <w:rPr>
          <w:rFonts w:ascii="Palatino Linotype" w:hAnsi="Palatino Linotype"/>
          <w:snapToGrid w:val="0"/>
          <w:sz w:val="22"/>
          <w:szCs w:val="22"/>
        </w:rPr>
        <w:t xml:space="preserve"> will provide technical </w:t>
      </w:r>
      <w:r w:rsidR="006B0D09">
        <w:rPr>
          <w:rFonts w:ascii="Palatino Linotype" w:hAnsi="Palatino Linotype"/>
          <w:snapToGrid w:val="0"/>
          <w:sz w:val="22"/>
          <w:szCs w:val="22"/>
        </w:rPr>
        <w:t>assistance and</w:t>
      </w:r>
      <w:r w:rsidR="006F675F">
        <w:rPr>
          <w:rFonts w:ascii="Palatino Linotype" w:hAnsi="Palatino Linotype"/>
          <w:snapToGrid w:val="0"/>
          <w:sz w:val="22"/>
          <w:szCs w:val="22"/>
        </w:rPr>
        <w:t xml:space="preserve"> </w:t>
      </w:r>
      <w:r>
        <w:rPr>
          <w:rFonts w:ascii="Palatino Linotype" w:hAnsi="Palatino Linotype"/>
          <w:snapToGrid w:val="0"/>
          <w:sz w:val="22"/>
          <w:szCs w:val="22"/>
        </w:rPr>
        <w:t xml:space="preserve">monitor the implementation of the project.  The list </w:t>
      </w:r>
      <w:r w:rsidRPr="00B66483">
        <w:rPr>
          <w:rFonts w:ascii="Palatino Linotype" w:hAnsi="Palatino Linotype"/>
          <w:snapToGrid w:val="0"/>
          <w:sz w:val="22"/>
          <w:szCs w:val="22"/>
        </w:rPr>
        <w:t xml:space="preserve">of </w:t>
      </w:r>
      <w:hyperlink r:id="rId17" w:history="1">
        <w:r w:rsidR="00E910CE" w:rsidRPr="00B66483">
          <w:rPr>
            <w:rStyle w:val="Hyperlink"/>
            <w:rFonts w:ascii="Palatino Linotype" w:hAnsi="Palatino Linotype"/>
            <w:snapToGrid w:val="0"/>
            <w:sz w:val="22"/>
            <w:szCs w:val="22"/>
          </w:rPr>
          <w:t xml:space="preserve">Regional Grant Specialist </w:t>
        </w:r>
        <w:r w:rsidRPr="00B66483">
          <w:rPr>
            <w:rStyle w:val="Hyperlink"/>
            <w:rFonts w:ascii="Palatino Linotype" w:hAnsi="Palatino Linotype"/>
            <w:snapToGrid w:val="0"/>
            <w:sz w:val="22"/>
            <w:szCs w:val="22"/>
          </w:rPr>
          <w:t>assignments</w:t>
        </w:r>
      </w:hyperlink>
      <w:r>
        <w:rPr>
          <w:rFonts w:ascii="Palatino Linotype" w:hAnsi="Palatino Linotype"/>
          <w:snapToGrid w:val="0"/>
          <w:sz w:val="22"/>
          <w:szCs w:val="22"/>
        </w:rPr>
        <w:t xml:space="preserve"> is </w:t>
      </w:r>
      <w:r w:rsidR="00AE5CF4">
        <w:rPr>
          <w:rFonts w:ascii="Palatino Linotype" w:hAnsi="Palatino Linotype"/>
          <w:snapToGrid w:val="0"/>
          <w:sz w:val="22"/>
          <w:szCs w:val="22"/>
        </w:rPr>
        <w:t>linked here, as well as at the end of the program guidance</w:t>
      </w:r>
      <w:r>
        <w:rPr>
          <w:rFonts w:ascii="Palatino Linotype" w:hAnsi="Palatino Linotype"/>
          <w:snapToGrid w:val="0"/>
          <w:sz w:val="22"/>
          <w:szCs w:val="22"/>
        </w:rPr>
        <w:t>.</w:t>
      </w:r>
    </w:p>
    <w:bookmarkEnd w:id="1"/>
    <w:p w14:paraId="0C25CF84" w14:textId="3F60F0B7" w:rsidR="008E0BF6" w:rsidRDefault="00B66483" w:rsidP="001C4561">
      <w:pPr>
        <w:widowControl w:val="0"/>
        <w:autoSpaceDE w:val="0"/>
        <w:autoSpaceDN w:val="0"/>
        <w:adjustRightInd w:val="0"/>
        <w:spacing w:after="100" w:afterAutospacing="1" w:line="273" w:lineRule="atLeast"/>
        <w:rPr>
          <w:rFonts w:ascii="Palatino Linotype" w:hAnsi="Palatino Linotype"/>
          <w:snapToGrid w:val="0"/>
          <w:sz w:val="22"/>
          <w:szCs w:val="22"/>
        </w:rPr>
      </w:pPr>
      <w:r>
        <w:rPr>
          <w:rFonts w:ascii="Palatino Linotype" w:hAnsi="Palatino Linotype"/>
          <w:snapToGrid w:val="0"/>
          <w:sz w:val="22"/>
          <w:szCs w:val="22"/>
        </w:rPr>
        <w:t xml:space="preserve">Upon contract award, monthly claim submittals for reimbursements are encouraged. </w:t>
      </w:r>
      <w:r w:rsidR="008E0BF6" w:rsidRPr="000F2BA7">
        <w:rPr>
          <w:rFonts w:ascii="Palatino Linotype" w:hAnsi="Palatino Linotype"/>
          <w:snapToGrid w:val="0"/>
          <w:sz w:val="22"/>
          <w:szCs w:val="22"/>
        </w:rPr>
        <w:t>Claim rate will be monitored closely to ensure funding is being utilized expeditiously.  If a transit agency is not submitting claims and not utilizing the funding, DOT reserves the right to invoice the agency to return the funding for use by another agency.</w:t>
      </w:r>
      <w:r>
        <w:rPr>
          <w:rFonts w:ascii="Palatino Linotype" w:hAnsi="Palatino Linotype"/>
          <w:snapToGrid w:val="0"/>
          <w:sz w:val="22"/>
          <w:szCs w:val="22"/>
        </w:rPr>
        <w:t xml:space="preserve"> </w:t>
      </w:r>
    </w:p>
    <w:p w14:paraId="2592C088" w14:textId="5B088EA3" w:rsidR="001C4561" w:rsidRPr="000F2BA7" w:rsidRDefault="00461033" w:rsidP="001C4561">
      <w:pPr>
        <w:rPr>
          <w:rFonts w:ascii="Palatino Linotype" w:eastAsia="Calibri" w:hAnsi="Palatino Linotype" w:cs="Calibri"/>
          <w:b/>
          <w:bCs/>
          <w:szCs w:val="24"/>
        </w:rPr>
      </w:pPr>
      <w:r>
        <w:rPr>
          <w:rFonts w:ascii="Palatino Linotype" w:eastAsia="Calibri" w:hAnsi="Palatino Linotype" w:cs="Calibri"/>
          <w:b/>
          <w:bCs/>
          <w:szCs w:val="24"/>
        </w:rPr>
        <w:t>Local Matching Funds Requirement</w:t>
      </w:r>
      <w:r w:rsidR="000F2BA7">
        <w:rPr>
          <w:rFonts w:ascii="Palatino Linotype" w:eastAsia="Calibri" w:hAnsi="Palatino Linotype" w:cs="Calibri"/>
          <w:b/>
          <w:bCs/>
          <w:szCs w:val="24"/>
        </w:rPr>
        <w:t>:</w:t>
      </w:r>
    </w:p>
    <w:p w14:paraId="15DC4905" w14:textId="77777777" w:rsidR="000F2BA7" w:rsidRDefault="000F2BA7" w:rsidP="001C4561">
      <w:pPr>
        <w:rPr>
          <w:rFonts w:ascii="Palatino Linotype" w:eastAsia="Calibri" w:hAnsi="Palatino Linotype" w:cs="Calibri"/>
          <w:sz w:val="22"/>
          <w:szCs w:val="22"/>
        </w:rPr>
      </w:pPr>
    </w:p>
    <w:p w14:paraId="0895D7C7" w14:textId="4FC48A0F" w:rsidR="008D5DF5" w:rsidRDefault="00461033" w:rsidP="00E85100">
      <w:pPr>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As with all FTA formula program grants administered by NCDOT, the local match must be provided from sources other than United States</w:t>
      </w:r>
      <w:r w:rsidR="008D5DF5">
        <w:rPr>
          <w:rFonts w:ascii="Palatino Linotype" w:eastAsia="AECOMSans-Light" w:hAnsi="Palatino Linotype" w:cs="AECOMSans-Light"/>
          <w:color w:val="000000"/>
          <w:sz w:val="22"/>
          <w:szCs w:val="22"/>
        </w:rPr>
        <w:t xml:space="preserve"> </w:t>
      </w:r>
      <w:r w:rsidRPr="00461033">
        <w:rPr>
          <w:rFonts w:ascii="Palatino Linotype" w:eastAsia="AECOMSans-Light" w:hAnsi="Palatino Linotype" w:cs="AECOMSans-Light"/>
          <w:color w:val="000000"/>
          <w:sz w:val="22"/>
          <w:szCs w:val="22"/>
        </w:rPr>
        <w:t xml:space="preserve">Department of Transportation funds (USDOT). </w:t>
      </w:r>
    </w:p>
    <w:p w14:paraId="4ED1806F" w14:textId="5E73AC56" w:rsidR="00461033" w:rsidRPr="00461033" w:rsidRDefault="00461033" w:rsidP="00461033">
      <w:p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Examples of possible local match sources include:</w:t>
      </w:r>
    </w:p>
    <w:p w14:paraId="5638F040" w14:textId="0AA30689"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Undistributed cash surplus</w:t>
      </w:r>
    </w:p>
    <w:p w14:paraId="61659D7E" w14:textId="14A05B52"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Replacement cash fund or reserve</w:t>
      </w:r>
    </w:p>
    <w:p w14:paraId="5EA94F51" w14:textId="1B902361"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lastRenderedPageBreak/>
        <w:t>Amounts appropriated or otherwise made available to a department or agency of the Government (other than the USDOT) that are eligible to be expended for transportation</w:t>
      </w:r>
    </w:p>
    <w:p w14:paraId="2054B1C4" w14:textId="68C3EB83"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Employment training, aging, community services, vocational rehabilitation services</w:t>
      </w:r>
    </w:p>
    <w:p w14:paraId="6C346FC9" w14:textId="0872269B"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TANF</w:t>
      </w:r>
    </w:p>
    <w:p w14:paraId="32B16C14" w14:textId="0B3C0508"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Other non-USDOT federal funds for local match </w:t>
      </w:r>
      <w:r w:rsidR="001004BF">
        <w:rPr>
          <w:rFonts w:ascii="Palatino Linotype" w:eastAsia="AECOMSans-Light" w:hAnsi="Palatino Linotype" w:cs="AECOMSans-Light"/>
          <w:color w:val="000000"/>
          <w:sz w:val="22"/>
          <w:szCs w:val="22"/>
        </w:rPr>
        <w:t>(must check each individual program for agency-specific funding regulations)</w:t>
      </w:r>
    </w:p>
    <w:p w14:paraId="5B8C110F" w14:textId="61123694" w:rsidR="00461033" w:rsidRPr="00461033" w:rsidRDefault="00461033" w:rsidP="00461033">
      <w:pPr>
        <w:pStyle w:val="ListParagraph"/>
        <w:numPr>
          <w:ilvl w:val="0"/>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Non-Federal sources that may be used for any or all of the local share include:</w:t>
      </w:r>
    </w:p>
    <w:p w14:paraId="27774577" w14:textId="47B8DAC4" w:rsidR="00461033" w:rsidRPr="00461033" w:rsidRDefault="00461033" w:rsidP="00461033">
      <w:pPr>
        <w:pStyle w:val="ListParagraph"/>
        <w:numPr>
          <w:ilvl w:val="1"/>
          <w:numId w:val="18"/>
        </w:numPr>
        <w:autoSpaceDE w:val="0"/>
        <w:autoSpaceDN w:val="0"/>
        <w:adjustRightInd w:val="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State or local appropriations</w:t>
      </w:r>
    </w:p>
    <w:p w14:paraId="25B0B7FB" w14:textId="59CE9E81" w:rsidR="00461033" w:rsidRPr="00461033" w:rsidRDefault="00461033" w:rsidP="0044552B">
      <w:pPr>
        <w:autoSpaceDE w:val="0"/>
        <w:autoSpaceDN w:val="0"/>
        <w:adjustRightInd w:val="0"/>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Dedicated tax revenues</w:t>
      </w:r>
    </w:p>
    <w:p w14:paraId="078ED22F" w14:textId="29024921" w:rsidR="00461033" w:rsidRPr="00461033" w:rsidRDefault="00461033" w:rsidP="0044552B">
      <w:pPr>
        <w:autoSpaceDE w:val="0"/>
        <w:autoSpaceDN w:val="0"/>
        <w:adjustRightInd w:val="0"/>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Private donations</w:t>
      </w:r>
    </w:p>
    <w:p w14:paraId="4766CF1B" w14:textId="6BDFBAEE" w:rsidR="00461033" w:rsidRDefault="00461033" w:rsidP="00BA0ECF">
      <w:pPr>
        <w:spacing w:after="160" w:line="259" w:lineRule="auto"/>
        <w:ind w:left="720" w:hanging="360"/>
        <w:rPr>
          <w:rFonts w:ascii="Palatino Linotype" w:eastAsia="AECOMSans-Light" w:hAnsi="Palatino Linotype" w:cs="AECOMSans-Light"/>
          <w:color w:val="000000"/>
          <w:sz w:val="22"/>
          <w:szCs w:val="22"/>
        </w:rPr>
      </w:pPr>
      <w:r w:rsidRPr="00461033">
        <w:rPr>
          <w:rFonts w:ascii="Palatino Linotype" w:eastAsia="AECOMSans-Light" w:hAnsi="Palatino Linotype" w:cs="AECOMSans-Light"/>
          <w:color w:val="000000"/>
          <w:sz w:val="22"/>
          <w:szCs w:val="22"/>
        </w:rPr>
        <w:t xml:space="preserve">• </w:t>
      </w:r>
      <w:r w:rsidR="00BA0ECF">
        <w:rPr>
          <w:rFonts w:ascii="Palatino Linotype" w:eastAsia="AECOMSans-Light" w:hAnsi="Palatino Linotype" w:cs="AECOMSans-Light"/>
          <w:color w:val="000000"/>
          <w:sz w:val="22"/>
          <w:szCs w:val="22"/>
        </w:rPr>
        <w:tab/>
      </w:r>
      <w:r w:rsidRPr="00461033">
        <w:rPr>
          <w:rFonts w:ascii="Palatino Linotype" w:eastAsia="AECOMSans-Light" w:hAnsi="Palatino Linotype" w:cs="AECOMSans-Light"/>
          <w:color w:val="000000"/>
          <w:sz w:val="22"/>
          <w:szCs w:val="22"/>
        </w:rPr>
        <w:t>Net income generated from advertising and concessions</w:t>
      </w:r>
    </w:p>
    <w:p w14:paraId="2E5E4ED2" w14:textId="0227B438" w:rsidR="00E85100" w:rsidRPr="00392EF2" w:rsidRDefault="00461033" w:rsidP="00B55DB6">
      <w:pPr>
        <w:autoSpaceDE w:val="0"/>
        <w:autoSpaceDN w:val="0"/>
        <w:adjustRightInd w:val="0"/>
        <w:rPr>
          <w:rFonts w:ascii="Palatino Linotype" w:eastAsia="Calibri" w:hAnsi="Palatino Linotype" w:cs="Calibri"/>
          <w:i/>
          <w:iCs/>
          <w:sz w:val="22"/>
          <w:szCs w:val="22"/>
        </w:rPr>
      </w:pPr>
      <w:r w:rsidRPr="00461033">
        <w:rPr>
          <w:rFonts w:ascii="Palatino Linotype" w:eastAsia="AECOMSans-Light" w:hAnsi="Palatino Linotype" w:cs="AECOMSans-Light"/>
          <w:sz w:val="22"/>
          <w:szCs w:val="22"/>
        </w:rPr>
        <w:t>Farebox revenue is not an applicable source of local match.</w:t>
      </w:r>
      <w:r w:rsidR="00B55DB6">
        <w:rPr>
          <w:rFonts w:ascii="Palatino Linotype" w:eastAsia="AECOMSans-Light" w:hAnsi="Palatino Linotype" w:cs="AECOMSans-Light"/>
          <w:sz w:val="22"/>
          <w:szCs w:val="22"/>
        </w:rPr>
        <w:t xml:space="preserve"> </w:t>
      </w:r>
      <w:r w:rsidRPr="00B55DB6">
        <w:rPr>
          <w:rFonts w:ascii="Palatino Linotype" w:eastAsia="AECOMSans-Light" w:hAnsi="Palatino Linotype" w:cs="AECOMSans-Light"/>
          <w:sz w:val="22"/>
          <w:szCs w:val="22"/>
        </w:rPr>
        <w:t>Applicants are responsible for verifying the eligibility of non-USDOT federal funds the applicant proposes to use as their local match.</w:t>
      </w:r>
      <w:r w:rsidR="00B55DB6">
        <w:rPr>
          <w:rFonts w:ascii="Palatino Linotype" w:eastAsia="AECOMSans-Light" w:hAnsi="Palatino Linotype" w:cs="AECOMSans-Light"/>
          <w:sz w:val="22"/>
          <w:szCs w:val="22"/>
        </w:rPr>
        <w:t xml:space="preserve"> </w:t>
      </w:r>
      <w:r w:rsidR="00E85100" w:rsidRPr="00392EF2">
        <w:rPr>
          <w:rFonts w:ascii="Palatino Linotype" w:eastAsia="Calibri" w:hAnsi="Palatino Linotype" w:cs="Calibri"/>
          <w:sz w:val="22"/>
          <w:szCs w:val="22"/>
        </w:rPr>
        <w:t>Please contact your Regional Grant Specialist for additional information</w:t>
      </w:r>
      <w:r w:rsidR="00392EF2">
        <w:rPr>
          <w:rFonts w:ascii="Palatino Linotype" w:eastAsia="Calibri" w:hAnsi="Palatino Linotype" w:cs="Calibri"/>
          <w:sz w:val="22"/>
          <w:szCs w:val="22"/>
        </w:rPr>
        <w:t xml:space="preserve"> about funding for this grant program</w:t>
      </w:r>
      <w:r w:rsidR="00E85100" w:rsidRPr="00392EF2">
        <w:rPr>
          <w:rFonts w:ascii="Palatino Linotype" w:eastAsia="Calibri" w:hAnsi="Palatino Linotype" w:cs="Calibri"/>
          <w:sz w:val="22"/>
          <w:szCs w:val="22"/>
        </w:rPr>
        <w:t xml:space="preserve">. </w:t>
      </w:r>
    </w:p>
    <w:p w14:paraId="198B99E4" w14:textId="3B4A3A25" w:rsidR="000D6450" w:rsidRDefault="00627F29" w:rsidP="000D6450">
      <w:pPr>
        <w:spacing w:after="160" w:line="259" w:lineRule="auto"/>
        <w:rPr>
          <w:rFonts w:cs="Lucida Sans Unicode"/>
          <w:b/>
          <w:color w:val="000080"/>
          <w:sz w:val="32"/>
          <w:szCs w:val="32"/>
        </w:rPr>
      </w:pPr>
      <w:r>
        <w:rPr>
          <w:rFonts w:ascii="Palatino Linotype" w:eastAsia="Palatino Linotype" w:hAnsi="Palatino Linotype" w:cs="Palatino Linotype"/>
        </w:rPr>
        <w:br/>
      </w:r>
      <w:r w:rsidR="000D6450">
        <w:rPr>
          <w:rFonts w:cs="Lucida Sans Unicode"/>
          <w:b/>
          <w:color w:val="000080"/>
          <w:sz w:val="32"/>
          <w:szCs w:val="32"/>
        </w:rPr>
        <w:t>Submitting Claims</w:t>
      </w:r>
      <w:r w:rsidR="00F95443">
        <w:rPr>
          <w:rFonts w:cs="Lucida Sans Unicode"/>
          <w:b/>
          <w:color w:val="000080"/>
          <w:sz w:val="32"/>
          <w:szCs w:val="32"/>
        </w:rPr>
        <w:t xml:space="preserve"> </w:t>
      </w:r>
    </w:p>
    <w:p w14:paraId="1B9B8D62" w14:textId="1C608666" w:rsidR="000D6450" w:rsidRDefault="000D6450" w:rsidP="000D6450">
      <w:pPr>
        <w:widowControl w:val="0"/>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A21810">
        <w:rPr>
          <w:rFonts w:ascii="Palatino Linotype" w:eastAsia="Palatino Linotype" w:hAnsi="Palatino Linotype" w:cs="Palatino Linotype"/>
          <w:sz w:val="22"/>
          <w:szCs w:val="22"/>
        </w:rPr>
        <w:t xml:space="preserve">Claims for </w:t>
      </w:r>
      <w:r>
        <w:rPr>
          <w:rFonts w:ascii="Palatino Linotype" w:eastAsia="Palatino Linotype" w:hAnsi="Palatino Linotype" w:cs="Palatino Linotype"/>
          <w:sz w:val="22"/>
          <w:szCs w:val="22"/>
        </w:rPr>
        <w:t>FY2</w:t>
      </w:r>
      <w:r w:rsidR="004D23CE">
        <w:rPr>
          <w:rFonts w:ascii="Palatino Linotype" w:eastAsia="Palatino Linotype" w:hAnsi="Palatino Linotype" w:cs="Palatino Linotype"/>
          <w:sz w:val="22"/>
          <w:szCs w:val="22"/>
        </w:rPr>
        <w:t>7</w:t>
      </w:r>
      <w:r>
        <w:rPr>
          <w:rFonts w:ascii="Palatino Linotype" w:eastAsia="Palatino Linotype" w:hAnsi="Palatino Linotype" w:cs="Palatino Linotype"/>
          <w:sz w:val="22"/>
          <w:szCs w:val="22"/>
        </w:rPr>
        <w:t xml:space="preserve"> Section 5303 planning funds</w:t>
      </w:r>
      <w:r w:rsidRPr="00A21810">
        <w:rPr>
          <w:rFonts w:ascii="Palatino Linotype" w:eastAsia="Palatino Linotype" w:hAnsi="Palatino Linotype" w:cs="Palatino Linotype"/>
          <w:sz w:val="22"/>
          <w:szCs w:val="22"/>
        </w:rPr>
        <w:t xml:space="preserve"> </w:t>
      </w:r>
      <w:r>
        <w:rPr>
          <w:rFonts w:ascii="Palatino Linotype" w:eastAsia="Palatino Linotype" w:hAnsi="Palatino Linotype" w:cs="Palatino Linotype"/>
          <w:sz w:val="22"/>
          <w:szCs w:val="22"/>
        </w:rPr>
        <w:t>will be submitted through the Enterprise Business Services (EBS) process.  Each EBS claim</w:t>
      </w:r>
      <w:r w:rsidRPr="00A21810">
        <w:rPr>
          <w:rFonts w:ascii="Palatino Linotype" w:eastAsia="Palatino Linotype" w:hAnsi="Palatino Linotype" w:cs="Palatino Linotype"/>
          <w:sz w:val="22"/>
          <w:szCs w:val="22"/>
        </w:rPr>
        <w:t xml:space="preserve"> must be accompanied by documentation supporting expenses </w:t>
      </w:r>
      <w:r>
        <w:rPr>
          <w:rFonts w:ascii="Palatino Linotype" w:eastAsia="Palatino Linotype" w:hAnsi="Palatino Linotype" w:cs="Palatino Linotype"/>
          <w:sz w:val="22"/>
          <w:szCs w:val="22"/>
        </w:rPr>
        <w:t>in the claim</w:t>
      </w:r>
      <w:r w:rsidRPr="00A21810">
        <w:rPr>
          <w:rFonts w:ascii="Palatino Linotype" w:eastAsia="Palatino Linotype" w:hAnsi="Palatino Linotype" w:cs="Palatino Linotype"/>
          <w:sz w:val="22"/>
          <w:szCs w:val="22"/>
        </w:rPr>
        <w:t>.</w:t>
      </w:r>
      <w:r>
        <w:rPr>
          <w:rFonts w:ascii="Palatino Linotype" w:eastAsia="Palatino Linotype" w:hAnsi="Palatino Linotype" w:cs="Palatino Linotype"/>
          <w:sz w:val="22"/>
          <w:szCs w:val="22"/>
        </w:rPr>
        <w:t xml:space="preserve">  Claims are preferred to be submitted monthly or, at a minimum, quarterly.  Additional required documentation required by IMD must include:</w:t>
      </w:r>
    </w:p>
    <w:p w14:paraId="398B9C01"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IMD Claim Cover Sheet </w:t>
      </w:r>
    </w:p>
    <w:p w14:paraId="3BEC9D11"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Claim Cover Letter on </w:t>
      </w:r>
      <w:r>
        <w:rPr>
          <w:rFonts w:ascii="Palatino Linotype" w:eastAsia="Palatino Linotype" w:hAnsi="Palatino Linotype" w:cs="Palatino Linotype"/>
          <w:sz w:val="22"/>
          <w:szCs w:val="22"/>
        </w:rPr>
        <w:t xml:space="preserve">Agency/County </w:t>
      </w:r>
      <w:r w:rsidRPr="46B02C90">
        <w:rPr>
          <w:rFonts w:ascii="Palatino Linotype" w:eastAsia="Palatino Linotype" w:hAnsi="Palatino Linotype" w:cs="Palatino Linotype"/>
          <w:sz w:val="22"/>
          <w:szCs w:val="22"/>
        </w:rPr>
        <w:t>Letterhead</w:t>
      </w:r>
    </w:p>
    <w:p w14:paraId="7F5272AF"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00C97269">
        <w:rPr>
          <w:rFonts w:ascii="Palatino Linotype" w:eastAsia="Palatino Linotype" w:hAnsi="Palatino Linotype" w:cs="Palatino Linotype"/>
          <w:i/>
          <w:iCs/>
          <w:sz w:val="22"/>
          <w:szCs w:val="22"/>
        </w:rPr>
        <w:t>Signed</w:t>
      </w:r>
      <w:r>
        <w:rPr>
          <w:rFonts w:ascii="Palatino Linotype" w:eastAsia="Palatino Linotype" w:hAnsi="Palatino Linotype" w:cs="Palatino Linotype"/>
          <w:sz w:val="22"/>
          <w:szCs w:val="22"/>
        </w:rPr>
        <w:t xml:space="preserve"> </w:t>
      </w:r>
      <w:r w:rsidRPr="46B02C90">
        <w:rPr>
          <w:rFonts w:ascii="Palatino Linotype" w:eastAsia="Palatino Linotype" w:hAnsi="Palatino Linotype" w:cs="Palatino Linotype"/>
          <w:sz w:val="22"/>
          <w:szCs w:val="22"/>
        </w:rPr>
        <w:t xml:space="preserve">DBE Vendor Form </w:t>
      </w:r>
    </w:p>
    <w:p w14:paraId="190697CA" w14:textId="77777777" w:rsidR="000D6450" w:rsidRDefault="000D6450" w:rsidP="000D6450">
      <w:pPr>
        <w:pStyle w:val="ListParagraph"/>
        <w:widowControl w:val="0"/>
        <w:numPr>
          <w:ilvl w:val="1"/>
          <w:numId w:val="20"/>
        </w:numPr>
        <w:spacing w:afterAutospacing="1" w:line="273" w:lineRule="atLeast"/>
        <w:rPr>
          <w:sz w:val="22"/>
          <w:szCs w:val="22"/>
        </w:rPr>
      </w:pPr>
      <w:r w:rsidRPr="46B02C90">
        <w:rPr>
          <w:rFonts w:ascii="Palatino Linotype" w:eastAsia="Palatino Linotype" w:hAnsi="Palatino Linotype" w:cs="Palatino Linotype"/>
          <w:sz w:val="22"/>
          <w:szCs w:val="22"/>
        </w:rPr>
        <w:t xml:space="preserve">The Record Subcontractor Payment in the Home section in EBS must be completed if a vendor payment was made. </w:t>
      </w:r>
    </w:p>
    <w:p w14:paraId="2CF9EFBC" w14:textId="5EAF4534"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sidRPr="46B02C90">
        <w:rPr>
          <w:rFonts w:ascii="Palatino Linotype" w:eastAsia="Palatino Linotype" w:hAnsi="Palatino Linotype" w:cs="Palatino Linotype"/>
          <w:sz w:val="22"/>
          <w:szCs w:val="22"/>
        </w:rPr>
        <w:t xml:space="preserve">Expense Documentation – </w:t>
      </w:r>
      <w:r>
        <w:rPr>
          <w:rFonts w:ascii="Palatino Linotype" w:eastAsia="Palatino Linotype" w:hAnsi="Palatino Linotype" w:cs="Palatino Linotype"/>
          <w:sz w:val="22"/>
          <w:szCs w:val="22"/>
        </w:rPr>
        <w:t xml:space="preserve">Appropriate </w:t>
      </w:r>
      <w:r w:rsidR="00B1333D">
        <w:rPr>
          <w:rFonts w:ascii="Palatino Linotype" w:eastAsia="Palatino Linotype" w:hAnsi="Palatino Linotype" w:cs="Palatino Linotype"/>
          <w:sz w:val="22"/>
          <w:szCs w:val="22"/>
        </w:rPr>
        <w:t>M</w:t>
      </w:r>
      <w:r w:rsidRPr="46B02C90">
        <w:rPr>
          <w:rFonts w:ascii="Palatino Linotype" w:eastAsia="Palatino Linotype" w:hAnsi="Palatino Linotype" w:cs="Palatino Linotype"/>
          <w:sz w:val="22"/>
          <w:szCs w:val="22"/>
        </w:rPr>
        <w:t xml:space="preserve"> codes must be listed on the expense documentation</w:t>
      </w:r>
      <w:r>
        <w:rPr>
          <w:rFonts w:ascii="Palatino Linotype" w:eastAsia="Palatino Linotype" w:hAnsi="Palatino Linotype" w:cs="Palatino Linotype"/>
          <w:sz w:val="22"/>
          <w:szCs w:val="22"/>
        </w:rPr>
        <w:t xml:space="preserve">. </w:t>
      </w:r>
    </w:p>
    <w:p w14:paraId="0B6EC07D" w14:textId="77777777" w:rsidR="000D6450" w:rsidRDefault="000D6450" w:rsidP="000D6450">
      <w:pPr>
        <w:pStyle w:val="ListParagraph"/>
        <w:widowControl w:val="0"/>
        <w:numPr>
          <w:ilvl w:val="1"/>
          <w:numId w:val="20"/>
        </w:numPr>
        <w:spacing w:afterAutospacing="1" w:line="273" w:lineRule="atLeast"/>
        <w:rPr>
          <w:rFonts w:asciiTheme="minorHAnsi" w:eastAsiaTheme="minorEastAsia" w:hAnsiTheme="minorHAnsi" w:cstheme="minorBidi"/>
          <w:sz w:val="22"/>
          <w:szCs w:val="22"/>
        </w:rPr>
      </w:pPr>
      <w:r w:rsidRPr="46B02C90">
        <w:rPr>
          <w:rFonts w:ascii="Palatino Linotype" w:eastAsia="Palatino Linotype" w:hAnsi="Palatino Linotype" w:cs="Palatino Linotype"/>
          <w:sz w:val="22"/>
          <w:szCs w:val="22"/>
        </w:rPr>
        <w:t>Copies of checks or other payment verification</w:t>
      </w:r>
    </w:p>
    <w:p w14:paraId="32DB2FF0" w14:textId="77777777" w:rsidR="000D6450" w:rsidRDefault="000D6450" w:rsidP="000D6450">
      <w:pPr>
        <w:pStyle w:val="ListParagraph"/>
        <w:widowControl w:val="0"/>
        <w:numPr>
          <w:ilvl w:val="1"/>
          <w:numId w:val="20"/>
        </w:numPr>
        <w:spacing w:afterAutospacing="1" w:line="273" w:lineRule="atLeast"/>
        <w:rPr>
          <w:sz w:val="22"/>
          <w:szCs w:val="22"/>
        </w:rPr>
      </w:pPr>
      <w:r w:rsidRPr="46B02C90">
        <w:rPr>
          <w:rFonts w:ascii="Palatino Linotype" w:eastAsia="Palatino Linotype" w:hAnsi="Palatino Linotype" w:cs="Palatino Linotype"/>
          <w:sz w:val="22"/>
          <w:szCs w:val="22"/>
        </w:rPr>
        <w:t>Vendor invoices and/or receipts</w:t>
      </w:r>
    </w:p>
    <w:p w14:paraId="1DCACA54"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Theme="minorHAnsi" w:eastAsiaTheme="minorEastAsia" w:hAnsiTheme="minorHAnsi" w:cstheme="minorBidi"/>
          <w:sz w:val="22"/>
          <w:szCs w:val="22"/>
        </w:rPr>
      </w:pPr>
      <w:r w:rsidRPr="46B02C90">
        <w:rPr>
          <w:rFonts w:ascii="Palatino Linotype" w:eastAsia="Palatino Linotype" w:hAnsi="Palatino Linotype" w:cs="Palatino Linotype"/>
          <w:sz w:val="22"/>
          <w:szCs w:val="22"/>
        </w:rPr>
        <w:t xml:space="preserve">Progress Reporting Form (integrated into EBS starting </w:t>
      </w:r>
      <w:r>
        <w:rPr>
          <w:rFonts w:ascii="Palatino Linotype" w:eastAsia="Palatino Linotype" w:hAnsi="Palatino Linotype" w:cs="Palatino Linotype"/>
          <w:sz w:val="22"/>
          <w:szCs w:val="22"/>
        </w:rPr>
        <w:t>S</w:t>
      </w:r>
      <w:r w:rsidRPr="46B02C90">
        <w:rPr>
          <w:rFonts w:ascii="Palatino Linotype" w:eastAsia="Palatino Linotype" w:hAnsi="Palatino Linotype" w:cs="Palatino Linotype"/>
          <w:sz w:val="22"/>
          <w:szCs w:val="22"/>
        </w:rPr>
        <w:t>FY23)</w:t>
      </w:r>
    </w:p>
    <w:p w14:paraId="07C0BE94" w14:textId="77777777" w:rsidR="000D6450" w:rsidRDefault="000D6450" w:rsidP="000D6450">
      <w:pPr>
        <w:pStyle w:val="ListParagraph"/>
        <w:widowControl w:val="0"/>
        <w:numPr>
          <w:ilvl w:val="0"/>
          <w:numId w:val="20"/>
        </w:numPr>
        <w:autoSpaceDE w:val="0"/>
        <w:autoSpaceDN w:val="0"/>
        <w:adjustRightInd w:val="0"/>
        <w:spacing w:after="100" w:afterAutospacing="1" w:line="273" w:lineRule="atLeast"/>
        <w:rPr>
          <w:rFonts w:ascii="Palatino Linotype" w:eastAsia="Palatino Linotype" w:hAnsi="Palatino Linotype" w:cs="Palatino Linotype"/>
          <w:sz w:val="22"/>
          <w:szCs w:val="22"/>
        </w:rPr>
      </w:pPr>
      <w:r>
        <w:rPr>
          <w:rFonts w:ascii="Palatino Linotype" w:eastAsia="Palatino Linotype" w:hAnsi="Palatino Linotype" w:cs="Palatino Linotype"/>
          <w:sz w:val="22"/>
          <w:szCs w:val="22"/>
        </w:rPr>
        <w:t>Claim Checklist</w:t>
      </w:r>
    </w:p>
    <w:p w14:paraId="47CEB230" w14:textId="77777777" w:rsidR="000D6450" w:rsidRDefault="000D6450" w:rsidP="000D6450">
      <w:pPr>
        <w:widowControl w:val="0"/>
        <w:autoSpaceDE w:val="0"/>
        <w:autoSpaceDN w:val="0"/>
        <w:adjustRightInd w:val="0"/>
        <w:spacing w:after="100" w:afterAutospacing="1" w:line="273" w:lineRule="atLeast"/>
        <w:rPr>
          <w:rFonts w:ascii="Palatino Linotype" w:hAnsi="Palatino Linotype"/>
          <w:b/>
          <w:bCs/>
          <w:iCs/>
          <w:spacing w:val="-2"/>
          <w:sz w:val="22"/>
          <w:szCs w:val="22"/>
        </w:rPr>
      </w:pPr>
      <w:r w:rsidRPr="000026EA">
        <w:rPr>
          <w:rFonts w:ascii="Palatino Linotype" w:hAnsi="Palatino Linotype"/>
          <w:b/>
          <w:bCs/>
          <w:iCs/>
          <w:spacing w:val="-1"/>
          <w:sz w:val="22"/>
          <w:szCs w:val="22"/>
        </w:rPr>
        <w:t>Program</w:t>
      </w:r>
      <w:r w:rsidRPr="000026EA">
        <w:rPr>
          <w:rFonts w:ascii="Palatino Linotype" w:hAnsi="Palatino Linotype"/>
          <w:b/>
          <w:bCs/>
          <w:iCs/>
          <w:spacing w:val="-10"/>
          <w:sz w:val="22"/>
          <w:szCs w:val="22"/>
        </w:rPr>
        <w:t xml:space="preserve"> </w:t>
      </w:r>
      <w:r w:rsidRPr="000026EA">
        <w:rPr>
          <w:rFonts w:ascii="Palatino Linotype" w:hAnsi="Palatino Linotype"/>
          <w:b/>
          <w:bCs/>
          <w:iCs/>
          <w:spacing w:val="-1"/>
          <w:sz w:val="22"/>
          <w:szCs w:val="22"/>
        </w:rPr>
        <w:t>Auditing</w:t>
      </w:r>
      <w:r w:rsidRPr="000026EA">
        <w:rPr>
          <w:rFonts w:ascii="Palatino Linotype" w:hAnsi="Palatino Linotype"/>
          <w:b/>
          <w:bCs/>
          <w:iCs/>
          <w:spacing w:val="-10"/>
          <w:sz w:val="22"/>
          <w:szCs w:val="22"/>
        </w:rPr>
        <w:t xml:space="preserve"> </w:t>
      </w:r>
      <w:r w:rsidRPr="000026EA">
        <w:rPr>
          <w:rFonts w:ascii="Palatino Linotype" w:hAnsi="Palatino Linotype"/>
          <w:b/>
          <w:bCs/>
          <w:iCs/>
          <w:spacing w:val="-1"/>
          <w:sz w:val="22"/>
          <w:szCs w:val="22"/>
        </w:rPr>
        <w:t>and</w:t>
      </w:r>
      <w:r w:rsidRPr="000026EA">
        <w:rPr>
          <w:rFonts w:ascii="Palatino Linotype" w:hAnsi="Palatino Linotype"/>
          <w:b/>
          <w:bCs/>
          <w:iCs/>
          <w:spacing w:val="-7"/>
          <w:sz w:val="22"/>
          <w:szCs w:val="22"/>
        </w:rPr>
        <w:t xml:space="preserve"> </w:t>
      </w:r>
      <w:r w:rsidRPr="000026EA">
        <w:rPr>
          <w:rFonts w:ascii="Palatino Linotype" w:hAnsi="Palatino Linotype"/>
          <w:b/>
          <w:bCs/>
          <w:iCs/>
          <w:spacing w:val="-2"/>
          <w:sz w:val="22"/>
          <w:szCs w:val="22"/>
        </w:rPr>
        <w:t>Documentation</w:t>
      </w:r>
    </w:p>
    <w:p w14:paraId="10BE87F4" w14:textId="77777777" w:rsidR="000D6450" w:rsidRDefault="000D6450" w:rsidP="000D6450">
      <w:pPr>
        <w:autoSpaceDE w:val="0"/>
        <w:autoSpaceDN w:val="0"/>
        <w:adjustRightInd w:val="0"/>
        <w:rPr>
          <w:rFonts w:ascii="Palatino Linotype" w:eastAsia="Palatino Linotype" w:hAnsi="Palatino Linotype" w:cs="Palatino Linotype"/>
          <w:sz w:val="22"/>
          <w:szCs w:val="22"/>
        </w:rPr>
      </w:pPr>
      <w:r w:rsidRPr="00851873">
        <w:rPr>
          <w:rFonts w:ascii="Palatino Linotype" w:eastAsia="Palatino Linotype" w:hAnsi="Palatino Linotype" w:cs="Palatino Linotype"/>
          <w:sz w:val="22"/>
          <w:szCs w:val="22"/>
        </w:rPr>
        <w:t xml:space="preserve">If you have any questions, please contact your </w:t>
      </w:r>
      <w:r w:rsidRPr="000026EA">
        <w:rPr>
          <w:rFonts w:ascii="Palatino Linotype" w:eastAsia="Palatino Linotype" w:hAnsi="Palatino Linotype" w:cs="Palatino Linotype"/>
          <w:sz w:val="22"/>
          <w:szCs w:val="22"/>
        </w:rPr>
        <w:t>Regional Grant Specialist</w:t>
      </w:r>
      <w:r w:rsidRPr="00851873">
        <w:rPr>
          <w:rFonts w:ascii="Palatino Linotype" w:eastAsia="Palatino Linotype" w:hAnsi="Palatino Linotype" w:cs="Palatino Linotype"/>
          <w:sz w:val="22"/>
          <w:szCs w:val="22"/>
        </w:rPr>
        <w:t>.</w:t>
      </w:r>
      <w:r>
        <w:rPr>
          <w:rFonts w:ascii="Palatino Linotype" w:eastAsia="Palatino Linotype" w:hAnsi="Palatino Linotype" w:cs="Palatino Linotype"/>
          <w:sz w:val="22"/>
          <w:szCs w:val="22"/>
        </w:rPr>
        <w:t xml:space="preserve"> This link includes a </w:t>
      </w:r>
      <w:hyperlink r:id="rId18" w:history="1">
        <w:r w:rsidRPr="00446AD7">
          <w:rPr>
            <w:rStyle w:val="Hyperlink"/>
            <w:rFonts w:ascii="Palatino Linotype" w:eastAsia="Palatino Linotype" w:hAnsi="Palatino Linotype" w:cs="Palatino Linotype"/>
            <w:sz w:val="22"/>
            <w:szCs w:val="22"/>
          </w:rPr>
          <w:t>map of geographic responsibilities</w:t>
        </w:r>
      </w:hyperlink>
      <w:r>
        <w:rPr>
          <w:rFonts w:ascii="Palatino Linotype" w:eastAsia="Palatino Linotype" w:hAnsi="Palatino Linotype" w:cs="Palatino Linotype"/>
          <w:sz w:val="22"/>
          <w:szCs w:val="22"/>
        </w:rPr>
        <w:t xml:space="preserve"> for each Regional Grant Specialist. </w:t>
      </w:r>
    </w:p>
    <w:p w14:paraId="78725A5A" w14:textId="77777777" w:rsidR="000D6450" w:rsidRDefault="000D6450" w:rsidP="000D6450">
      <w:pPr>
        <w:autoSpaceDE w:val="0"/>
        <w:autoSpaceDN w:val="0"/>
        <w:adjustRightInd w:val="0"/>
        <w:rPr>
          <w:rFonts w:ascii="Palatino Linotype" w:eastAsia="Palatino Linotype" w:hAnsi="Palatino Linotype" w:cs="Palatino Linotype"/>
          <w:sz w:val="22"/>
          <w:szCs w:val="22"/>
        </w:rPr>
      </w:pPr>
    </w:p>
    <w:p w14:paraId="7AE91E5C" w14:textId="5601302C" w:rsidR="00627F29" w:rsidRDefault="00627F29" w:rsidP="00841A8D">
      <w:pPr>
        <w:spacing w:after="160" w:line="259" w:lineRule="auto"/>
        <w:rPr>
          <w:rFonts w:ascii="Palatino Linotype" w:eastAsia="Palatino Linotype" w:hAnsi="Palatino Linotype" w:cs="Palatino Linotype"/>
        </w:rPr>
      </w:pPr>
    </w:p>
    <w:p w14:paraId="568A79FB" w14:textId="77777777" w:rsidR="00A96D23" w:rsidRDefault="00A96D23">
      <w:pPr>
        <w:spacing w:after="160" w:line="259" w:lineRule="auto"/>
        <w:rPr>
          <w:rFonts w:ascii="Palatino Linotype" w:hAnsi="Palatino Linotype"/>
          <w:b/>
          <w:bCs/>
          <w:snapToGrid w:val="0"/>
          <w:color w:val="00006A"/>
          <w:sz w:val="28"/>
          <w:szCs w:val="28"/>
        </w:rPr>
      </w:pPr>
      <w:r>
        <w:rPr>
          <w:rFonts w:ascii="Palatino Linotype" w:hAnsi="Palatino Linotype"/>
          <w:b/>
          <w:bCs/>
          <w:snapToGrid w:val="0"/>
          <w:color w:val="00006A"/>
          <w:sz w:val="28"/>
          <w:szCs w:val="28"/>
        </w:rPr>
        <w:br w:type="page"/>
      </w:r>
    </w:p>
    <w:p w14:paraId="242119B8" w14:textId="6B6BC671" w:rsidR="003277D7" w:rsidRDefault="00925C84" w:rsidP="00A96D23">
      <w:pPr>
        <w:spacing w:after="160" w:line="259" w:lineRule="auto"/>
        <w:jc w:val="center"/>
        <w:rPr>
          <w:rFonts w:ascii="Palatino Linotype" w:hAnsi="Palatino Linotype"/>
          <w:b/>
          <w:bCs/>
          <w:snapToGrid w:val="0"/>
          <w:color w:val="00006A"/>
          <w:sz w:val="28"/>
          <w:szCs w:val="28"/>
        </w:rPr>
      </w:pPr>
      <w:r w:rsidRPr="00925C84">
        <w:rPr>
          <w:rFonts w:ascii="Palatino Linotype" w:hAnsi="Palatino Linotype"/>
          <w:b/>
          <w:bCs/>
          <w:snapToGrid w:val="0"/>
          <w:color w:val="00006A"/>
          <w:sz w:val="28"/>
          <w:szCs w:val="28"/>
        </w:rPr>
        <w:lastRenderedPageBreak/>
        <w:t xml:space="preserve">Appendix A - </w:t>
      </w:r>
      <w:r w:rsidR="003277D7" w:rsidRPr="00925C84">
        <w:rPr>
          <w:rFonts w:ascii="Palatino Linotype" w:hAnsi="Palatino Linotype"/>
          <w:b/>
          <w:bCs/>
          <w:snapToGrid w:val="0"/>
          <w:color w:val="00006A"/>
          <w:sz w:val="28"/>
          <w:szCs w:val="28"/>
        </w:rPr>
        <w:t xml:space="preserve">Application </w:t>
      </w:r>
      <w:r w:rsidR="002204F3">
        <w:rPr>
          <w:rFonts w:ascii="Palatino Linotype" w:hAnsi="Palatino Linotype"/>
          <w:b/>
          <w:bCs/>
          <w:snapToGrid w:val="0"/>
          <w:color w:val="00006A"/>
          <w:sz w:val="28"/>
          <w:szCs w:val="28"/>
        </w:rPr>
        <w:t xml:space="preserve">of the EJScreen </w:t>
      </w:r>
      <w:r w:rsidR="005D1435">
        <w:rPr>
          <w:rFonts w:ascii="Palatino Linotype" w:hAnsi="Palatino Linotype"/>
          <w:b/>
          <w:bCs/>
          <w:snapToGrid w:val="0"/>
          <w:color w:val="00006A"/>
          <w:sz w:val="28"/>
          <w:szCs w:val="28"/>
        </w:rPr>
        <w:t xml:space="preserve">Mapping </w:t>
      </w:r>
      <w:r w:rsidR="002204F3">
        <w:rPr>
          <w:rFonts w:ascii="Palatino Linotype" w:hAnsi="Palatino Linotype"/>
          <w:b/>
          <w:bCs/>
          <w:snapToGrid w:val="0"/>
          <w:color w:val="00006A"/>
          <w:sz w:val="28"/>
          <w:szCs w:val="28"/>
        </w:rPr>
        <w:t>Tool</w:t>
      </w:r>
    </w:p>
    <w:p w14:paraId="095F56D0" w14:textId="40836349" w:rsidR="005D1435" w:rsidRDefault="002204F3" w:rsidP="000B3016">
      <w:pPr>
        <w:spacing w:after="100" w:afterAutospacing="1"/>
        <w:rPr>
          <w:rFonts w:ascii="Palatino Linotype" w:hAnsi="Palatino Linotype"/>
          <w:bCs/>
          <w:sz w:val="22"/>
          <w:szCs w:val="22"/>
        </w:rPr>
      </w:pPr>
      <w:r>
        <w:rPr>
          <w:rFonts w:ascii="Palatino Linotype" w:hAnsi="Palatino Linotype"/>
          <w:bCs/>
          <w:sz w:val="22"/>
          <w:szCs w:val="22"/>
        </w:rPr>
        <w:t>This</w:t>
      </w:r>
      <w:r w:rsidR="005D1435">
        <w:rPr>
          <w:rFonts w:ascii="Palatino Linotype" w:hAnsi="Palatino Linotype"/>
          <w:bCs/>
          <w:sz w:val="22"/>
          <w:szCs w:val="22"/>
        </w:rPr>
        <w:t xml:space="preserve"> mapping tool</w:t>
      </w:r>
      <w:r w:rsidR="000B3016">
        <w:rPr>
          <w:rFonts w:ascii="Palatino Linotype" w:hAnsi="Palatino Linotype"/>
          <w:bCs/>
          <w:sz w:val="22"/>
          <w:szCs w:val="22"/>
        </w:rPr>
        <w:t xml:space="preserve"> page should </w:t>
      </w:r>
      <w:r w:rsidR="000B3016" w:rsidRPr="005D1435">
        <w:rPr>
          <w:rFonts w:ascii="Palatino Linotype" w:hAnsi="Palatino Linotype"/>
          <w:bCs/>
          <w:sz w:val="22"/>
          <w:szCs w:val="22"/>
          <w:u w:val="single"/>
        </w:rPr>
        <w:t>ONLY</w:t>
      </w:r>
      <w:r w:rsidR="000B3016">
        <w:rPr>
          <w:rFonts w:ascii="Palatino Linotype" w:hAnsi="Palatino Linotype"/>
          <w:bCs/>
          <w:sz w:val="22"/>
          <w:szCs w:val="22"/>
        </w:rPr>
        <w:t xml:space="preserve"> be included in the project information for projects seeking to utilize the 90% federal match for the i</w:t>
      </w:r>
      <w:r w:rsidR="000B3016" w:rsidRPr="00A96D23">
        <w:rPr>
          <w:rFonts w:ascii="Palatino Linotype" w:hAnsi="Palatino Linotype"/>
          <w:bCs/>
          <w:sz w:val="22"/>
          <w:szCs w:val="22"/>
        </w:rPr>
        <w:t xml:space="preserve">ncreased federal share for lower population density or income waiver. This information sheet is </w:t>
      </w:r>
      <w:r w:rsidR="00F72B61" w:rsidRPr="00F72B61">
        <w:rPr>
          <w:rFonts w:ascii="Palatino Linotype" w:hAnsi="Palatino Linotype"/>
          <w:bCs/>
          <w:sz w:val="22"/>
          <w:szCs w:val="22"/>
        </w:rPr>
        <w:t>not required</w:t>
      </w:r>
      <w:r w:rsidR="00F72B61" w:rsidRPr="00A96D23">
        <w:rPr>
          <w:rFonts w:ascii="Palatino Linotype" w:hAnsi="Palatino Linotype"/>
          <w:bCs/>
          <w:sz w:val="22"/>
          <w:szCs w:val="22"/>
        </w:rPr>
        <w:t xml:space="preserve"> </w:t>
      </w:r>
      <w:r w:rsidR="000B3016" w:rsidRPr="00A96D23">
        <w:rPr>
          <w:rFonts w:ascii="Palatino Linotype" w:hAnsi="Palatino Linotype"/>
          <w:bCs/>
          <w:sz w:val="22"/>
          <w:szCs w:val="22"/>
        </w:rPr>
        <w:t>for projects seeking the 100% match for the Complete Streets waiver.</w:t>
      </w:r>
      <w:r w:rsidR="00A96D23">
        <w:rPr>
          <w:rFonts w:ascii="Palatino Linotype" w:hAnsi="Palatino Linotype"/>
          <w:bCs/>
          <w:sz w:val="22"/>
          <w:szCs w:val="22"/>
        </w:rPr>
        <w:t xml:space="preserve"> </w:t>
      </w:r>
    </w:p>
    <w:p w14:paraId="78A99185" w14:textId="32A50792" w:rsidR="005D5A95" w:rsidRDefault="0047266C" w:rsidP="000B3016">
      <w:pPr>
        <w:spacing w:after="100" w:afterAutospacing="1"/>
        <w:rPr>
          <w:rFonts w:ascii="Palatino Linotype" w:hAnsi="Palatino Linotype"/>
          <w:bCs/>
          <w:sz w:val="22"/>
          <w:szCs w:val="22"/>
        </w:rPr>
      </w:pPr>
      <w:r>
        <w:rPr>
          <w:rFonts w:ascii="Palatino Linotype" w:hAnsi="Palatino Linotype"/>
          <w:bCs/>
          <w:sz w:val="22"/>
          <w:szCs w:val="22"/>
        </w:rPr>
        <w:t xml:space="preserve">This </w:t>
      </w:r>
      <w:r w:rsidR="000D6450">
        <w:rPr>
          <w:rFonts w:ascii="Palatino Linotype" w:hAnsi="Palatino Linotype"/>
          <w:bCs/>
          <w:sz w:val="22"/>
          <w:szCs w:val="22"/>
        </w:rPr>
        <w:t xml:space="preserve">tutorial </w:t>
      </w:r>
      <w:r>
        <w:rPr>
          <w:rFonts w:ascii="Palatino Linotype" w:hAnsi="Palatino Linotype"/>
          <w:bCs/>
          <w:sz w:val="22"/>
          <w:szCs w:val="22"/>
        </w:rPr>
        <w:t xml:space="preserve">information presented in this Appendix utilizes the </w:t>
      </w:r>
      <w:r w:rsidR="005D1435">
        <w:rPr>
          <w:rFonts w:ascii="Palatino Linotype" w:hAnsi="Palatino Linotype"/>
          <w:bCs/>
          <w:sz w:val="22"/>
          <w:szCs w:val="22"/>
        </w:rPr>
        <w:t xml:space="preserve">information found with </w:t>
      </w:r>
      <w:r w:rsidR="005D1435" w:rsidRPr="00380822">
        <w:rPr>
          <w:rFonts w:ascii="Palatino Linotype" w:hAnsi="Palatino Linotype"/>
          <w:bCs/>
          <w:sz w:val="22"/>
          <w:szCs w:val="22"/>
        </w:rPr>
        <w:t>Environmental Protection Agency’s Environmental Justice Screening and Mapping Tool, EJScreen (</w:t>
      </w:r>
      <w:hyperlink r:id="rId19" w:history="1">
        <w:r w:rsidR="005D1435" w:rsidRPr="008A68CD">
          <w:rPr>
            <w:rStyle w:val="Hyperlink"/>
            <w:rFonts w:ascii="Palatino Linotype" w:hAnsi="Palatino Linotype"/>
            <w:bCs/>
            <w:sz w:val="22"/>
            <w:szCs w:val="22"/>
          </w:rPr>
          <w:t>https://ejscreen.epa.gov/mapper/</w:t>
        </w:r>
      </w:hyperlink>
      <w:r w:rsidR="005D1435" w:rsidRPr="00380822">
        <w:rPr>
          <w:rFonts w:ascii="Palatino Linotype" w:hAnsi="Palatino Linotype"/>
          <w:bCs/>
          <w:sz w:val="22"/>
          <w:szCs w:val="22"/>
        </w:rPr>
        <w:t>).</w:t>
      </w:r>
      <w:r w:rsidR="005D1435">
        <w:rPr>
          <w:rFonts w:ascii="Palatino Linotype" w:hAnsi="Palatino Linotype"/>
          <w:bCs/>
          <w:sz w:val="22"/>
          <w:szCs w:val="22"/>
        </w:rPr>
        <w:t xml:space="preserve"> </w:t>
      </w:r>
      <w:r w:rsidR="00C46B41">
        <w:rPr>
          <w:rFonts w:ascii="Palatino Linotype" w:hAnsi="Palatino Linotype"/>
          <w:bCs/>
          <w:sz w:val="22"/>
          <w:szCs w:val="22"/>
        </w:rPr>
        <w:t xml:space="preserve">There are other online GIS-based tools available that use </w:t>
      </w:r>
      <w:r w:rsidR="00C46B41" w:rsidRPr="00380822">
        <w:rPr>
          <w:rFonts w:ascii="Palatino Linotype" w:hAnsi="Palatino Linotype"/>
          <w:bCs/>
          <w:sz w:val="22"/>
          <w:szCs w:val="22"/>
        </w:rPr>
        <w:t>any verifiable data resource</w:t>
      </w:r>
      <w:r w:rsidR="000D6450">
        <w:rPr>
          <w:rFonts w:ascii="Palatino Linotype" w:hAnsi="Palatino Linotype"/>
          <w:bCs/>
          <w:sz w:val="22"/>
          <w:szCs w:val="22"/>
        </w:rPr>
        <w:t>s</w:t>
      </w:r>
      <w:r w:rsidR="00C46B41" w:rsidRPr="00380822">
        <w:rPr>
          <w:rFonts w:ascii="Palatino Linotype" w:hAnsi="Palatino Linotype"/>
          <w:bCs/>
          <w:sz w:val="22"/>
          <w:szCs w:val="22"/>
        </w:rPr>
        <w:t xml:space="preserve"> and mapping product</w:t>
      </w:r>
      <w:r w:rsidR="00C46B41">
        <w:rPr>
          <w:rFonts w:ascii="Palatino Linotype" w:hAnsi="Palatino Linotype"/>
          <w:bCs/>
          <w:sz w:val="22"/>
          <w:szCs w:val="22"/>
        </w:rPr>
        <w:t>s</w:t>
      </w:r>
      <w:r w:rsidR="000D6450">
        <w:rPr>
          <w:rFonts w:ascii="Palatino Linotype" w:hAnsi="Palatino Linotype"/>
          <w:bCs/>
          <w:sz w:val="22"/>
          <w:szCs w:val="22"/>
        </w:rPr>
        <w:t xml:space="preserve">, but this tutorial </w:t>
      </w:r>
      <w:r w:rsidR="000C276A">
        <w:rPr>
          <w:rFonts w:ascii="Palatino Linotype" w:hAnsi="Palatino Linotype"/>
          <w:bCs/>
          <w:sz w:val="22"/>
          <w:szCs w:val="22"/>
        </w:rPr>
        <w:t xml:space="preserve">focuses on the </w:t>
      </w:r>
      <w:r w:rsidR="000D6450">
        <w:rPr>
          <w:rFonts w:ascii="Palatino Linotype" w:hAnsi="Palatino Linotype"/>
          <w:bCs/>
          <w:sz w:val="22"/>
          <w:szCs w:val="22"/>
        </w:rPr>
        <w:t>use of the EJScreen Tool.</w:t>
      </w:r>
      <w:r w:rsidR="000C276A">
        <w:rPr>
          <w:rFonts w:ascii="Palatino Linotype" w:hAnsi="Palatino Linotype"/>
          <w:bCs/>
          <w:sz w:val="22"/>
          <w:szCs w:val="22"/>
        </w:rPr>
        <w:t xml:space="preserve"> </w:t>
      </w:r>
      <w:r w:rsidR="00CC7F60" w:rsidRPr="00CC7F60">
        <w:rPr>
          <w:rFonts w:ascii="Palatino Linotype" w:hAnsi="Palatino Linotype"/>
          <w:bCs/>
          <w:sz w:val="22"/>
          <w:szCs w:val="22"/>
        </w:rPr>
        <w:t xml:space="preserve">EJScreen is an environmental justice mapping and screening tool that provides a nationally consistent dataset and approach for combining and extracting various environmental and demographic indicators. EJScreen users choose a geographic area, and the tool then provides demographic information and environmental information for that area. </w:t>
      </w:r>
    </w:p>
    <w:p w14:paraId="08186876" w14:textId="77777777" w:rsidR="007F0A6B" w:rsidRDefault="00CC7F60" w:rsidP="000B3016">
      <w:pPr>
        <w:spacing w:after="100" w:afterAutospacing="1"/>
        <w:rPr>
          <w:rFonts w:ascii="Palatino Linotype" w:hAnsi="Palatino Linotype"/>
          <w:bCs/>
          <w:sz w:val="22"/>
          <w:szCs w:val="22"/>
        </w:rPr>
      </w:pPr>
      <w:r w:rsidRPr="00CC7F60">
        <w:rPr>
          <w:rFonts w:ascii="Palatino Linotype" w:hAnsi="Palatino Linotype"/>
          <w:bCs/>
          <w:sz w:val="22"/>
          <w:szCs w:val="22"/>
        </w:rPr>
        <w:t xml:space="preserve">Three types of demographic information around a project area need quantification for implementing </w:t>
      </w:r>
      <w:r w:rsidR="005D5A95">
        <w:rPr>
          <w:rFonts w:ascii="Palatino Linotype" w:hAnsi="Palatino Linotype"/>
          <w:bCs/>
          <w:sz w:val="22"/>
          <w:szCs w:val="22"/>
        </w:rPr>
        <w:t>the increased federal share for lower population density or income waiver</w:t>
      </w:r>
      <w:r w:rsidR="007F0A6B">
        <w:rPr>
          <w:rFonts w:ascii="Palatino Linotype" w:hAnsi="Palatino Linotype"/>
          <w:bCs/>
          <w:sz w:val="22"/>
          <w:szCs w:val="22"/>
        </w:rPr>
        <w:t>:</w:t>
      </w:r>
    </w:p>
    <w:p w14:paraId="781CA6FE" w14:textId="3A21051F" w:rsidR="007F0A6B" w:rsidRDefault="007F0A6B" w:rsidP="007F0A6B">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Average income,</w:t>
      </w:r>
    </w:p>
    <w:p w14:paraId="4A67D5A8" w14:textId="78190F0F" w:rsidR="007F0A6B" w:rsidRDefault="007F0A6B" w:rsidP="007F0A6B">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Population density, and</w:t>
      </w:r>
    </w:p>
    <w:p w14:paraId="1C9A4C0F" w14:textId="6FE51696" w:rsidR="00CC7F60" w:rsidRDefault="007F0A6B" w:rsidP="000B3016">
      <w:pPr>
        <w:pStyle w:val="ListParagraph"/>
        <w:numPr>
          <w:ilvl w:val="0"/>
          <w:numId w:val="26"/>
        </w:numPr>
        <w:spacing w:after="100" w:afterAutospacing="1"/>
        <w:rPr>
          <w:rFonts w:ascii="Palatino Linotype" w:hAnsi="Palatino Linotype"/>
          <w:bCs/>
          <w:sz w:val="22"/>
          <w:szCs w:val="22"/>
        </w:rPr>
      </w:pPr>
      <w:r>
        <w:rPr>
          <w:rFonts w:ascii="Palatino Linotype" w:hAnsi="Palatino Linotype"/>
          <w:bCs/>
          <w:sz w:val="22"/>
          <w:szCs w:val="22"/>
        </w:rPr>
        <w:t>R</w:t>
      </w:r>
      <w:r w:rsidR="00CC7F60" w:rsidRPr="007F0A6B">
        <w:rPr>
          <w:rFonts w:ascii="Palatino Linotype" w:hAnsi="Palatino Linotype"/>
          <w:bCs/>
          <w:sz w:val="22"/>
          <w:szCs w:val="22"/>
        </w:rPr>
        <w:t>ural (population of less than 50,000 people) or urbanized area (population of greater than 50,000 people) applicable and adjoining the project location</w:t>
      </w:r>
    </w:p>
    <w:p w14:paraId="49E73A26" w14:textId="1DFC47F4" w:rsidR="000F2C00" w:rsidRPr="006D37D4" w:rsidRDefault="000F2C00" w:rsidP="000F2C00">
      <w:pPr>
        <w:spacing w:after="100" w:afterAutospacing="1"/>
        <w:rPr>
          <w:rFonts w:ascii="Palatino Linotype" w:hAnsi="Palatino Linotype"/>
          <w:b/>
          <w:sz w:val="22"/>
          <w:szCs w:val="22"/>
          <w:u w:val="single"/>
        </w:rPr>
      </w:pPr>
      <w:r w:rsidRPr="006D37D4">
        <w:rPr>
          <w:rFonts w:ascii="Palatino Linotype" w:hAnsi="Palatino Linotype"/>
          <w:b/>
          <w:sz w:val="22"/>
          <w:szCs w:val="22"/>
          <w:u w:val="single"/>
        </w:rPr>
        <w:t>Step</w:t>
      </w:r>
      <w:r w:rsidR="001E612E" w:rsidRPr="006D37D4">
        <w:rPr>
          <w:rFonts w:ascii="Palatino Linotype" w:hAnsi="Palatino Linotype"/>
          <w:b/>
          <w:sz w:val="22"/>
          <w:szCs w:val="22"/>
          <w:u w:val="single"/>
        </w:rPr>
        <w:t>-</w:t>
      </w:r>
      <w:r w:rsidRPr="006D37D4">
        <w:rPr>
          <w:rFonts w:ascii="Palatino Linotype" w:hAnsi="Palatino Linotype"/>
          <w:b/>
          <w:sz w:val="22"/>
          <w:szCs w:val="22"/>
          <w:u w:val="single"/>
        </w:rPr>
        <w:t>by</w:t>
      </w:r>
      <w:r w:rsidR="001E612E" w:rsidRPr="006D37D4">
        <w:rPr>
          <w:rFonts w:ascii="Palatino Linotype" w:hAnsi="Palatino Linotype"/>
          <w:b/>
          <w:sz w:val="22"/>
          <w:szCs w:val="22"/>
          <w:u w:val="single"/>
        </w:rPr>
        <w:t>-</w:t>
      </w:r>
      <w:r w:rsidRPr="006D37D4">
        <w:rPr>
          <w:rFonts w:ascii="Palatino Linotype" w:hAnsi="Palatino Linotype"/>
          <w:b/>
          <w:sz w:val="22"/>
          <w:szCs w:val="22"/>
          <w:u w:val="single"/>
        </w:rPr>
        <w:t xml:space="preserve">step instructions </w:t>
      </w:r>
      <w:r w:rsidR="00F55845" w:rsidRPr="006D37D4">
        <w:rPr>
          <w:rFonts w:ascii="Palatino Linotype" w:hAnsi="Palatino Linotype"/>
          <w:b/>
          <w:sz w:val="22"/>
          <w:szCs w:val="22"/>
          <w:u w:val="single"/>
        </w:rPr>
        <w:t>for using</w:t>
      </w:r>
      <w:r w:rsidRPr="006D37D4">
        <w:rPr>
          <w:rFonts w:ascii="Palatino Linotype" w:hAnsi="Palatino Linotype"/>
          <w:b/>
          <w:sz w:val="22"/>
          <w:szCs w:val="22"/>
          <w:u w:val="single"/>
        </w:rPr>
        <w:t xml:space="preserve"> EJScreen</w:t>
      </w:r>
      <w:r w:rsidR="00F55845" w:rsidRPr="006D37D4">
        <w:rPr>
          <w:rFonts w:ascii="Palatino Linotype" w:hAnsi="Palatino Linotype"/>
          <w:b/>
          <w:sz w:val="22"/>
          <w:szCs w:val="22"/>
          <w:u w:val="single"/>
        </w:rPr>
        <w:t xml:space="preserve"> to provide </w:t>
      </w:r>
      <w:r w:rsidR="006D37D4" w:rsidRPr="006D37D4">
        <w:rPr>
          <w:rFonts w:ascii="Palatino Linotype" w:hAnsi="Palatino Linotype"/>
          <w:b/>
          <w:sz w:val="22"/>
          <w:szCs w:val="22"/>
          <w:u w:val="single"/>
        </w:rPr>
        <w:t>documentation</w:t>
      </w:r>
      <w:r w:rsidR="00F55845" w:rsidRPr="006D37D4">
        <w:rPr>
          <w:rFonts w:ascii="Palatino Linotype" w:hAnsi="Palatino Linotype"/>
          <w:b/>
          <w:sz w:val="22"/>
          <w:szCs w:val="22"/>
          <w:u w:val="single"/>
        </w:rPr>
        <w:t xml:space="preserve"> for the </w:t>
      </w:r>
      <w:r w:rsidR="00AC12B0" w:rsidRPr="006D37D4">
        <w:rPr>
          <w:rFonts w:ascii="Palatino Linotype" w:hAnsi="Palatino Linotype"/>
          <w:b/>
          <w:sz w:val="22"/>
          <w:szCs w:val="22"/>
          <w:u w:val="single"/>
        </w:rPr>
        <w:t>lower po</w:t>
      </w:r>
      <w:r w:rsidR="009271AA" w:rsidRPr="006D37D4">
        <w:rPr>
          <w:rFonts w:ascii="Palatino Linotype" w:hAnsi="Palatino Linotype"/>
          <w:b/>
          <w:sz w:val="22"/>
          <w:szCs w:val="22"/>
          <w:u w:val="single"/>
        </w:rPr>
        <w:t>pulation density or income waiver.</w:t>
      </w:r>
    </w:p>
    <w:p w14:paraId="796A47B7" w14:textId="1902F16F" w:rsidR="00C87CD8" w:rsidRDefault="005B5B65" w:rsidP="005B5B65">
      <w:pPr>
        <w:pStyle w:val="ListParagraph"/>
        <w:numPr>
          <w:ilvl w:val="0"/>
          <w:numId w:val="28"/>
        </w:numPr>
        <w:spacing w:after="100" w:afterAutospacing="1"/>
        <w:rPr>
          <w:rFonts w:ascii="Palatino Linotype" w:hAnsi="Palatino Linotype"/>
          <w:bCs/>
          <w:sz w:val="22"/>
          <w:szCs w:val="22"/>
        </w:rPr>
      </w:pPr>
      <w:r>
        <w:rPr>
          <w:rFonts w:ascii="Palatino Linotype" w:hAnsi="Palatino Linotype"/>
          <w:bCs/>
          <w:sz w:val="22"/>
          <w:szCs w:val="22"/>
        </w:rPr>
        <w:t xml:space="preserve">Open the EJScreen Tool - </w:t>
      </w:r>
      <w:hyperlink r:id="rId20" w:history="1">
        <w:r w:rsidRPr="00943430">
          <w:rPr>
            <w:rStyle w:val="Hyperlink"/>
            <w:rFonts w:ascii="Palatino Linotype" w:hAnsi="Palatino Linotype"/>
            <w:bCs/>
            <w:sz w:val="22"/>
            <w:szCs w:val="22"/>
          </w:rPr>
          <w:t>https://ejscreen.epa.gov/mapper/</w:t>
        </w:r>
      </w:hyperlink>
    </w:p>
    <w:p w14:paraId="4891346A" w14:textId="21535856" w:rsidR="005B5B65" w:rsidRDefault="00DB4F25" w:rsidP="004925C3">
      <w:pPr>
        <w:pStyle w:val="ListParagraph"/>
        <w:numPr>
          <w:ilvl w:val="0"/>
          <w:numId w:val="28"/>
        </w:numPr>
        <w:spacing w:after="240"/>
        <w:rPr>
          <w:rFonts w:ascii="Palatino Linotype" w:hAnsi="Palatino Linotype"/>
          <w:bCs/>
          <w:sz w:val="22"/>
          <w:szCs w:val="22"/>
        </w:rPr>
      </w:pPr>
      <w:r>
        <w:rPr>
          <w:rFonts w:ascii="Palatino Linotype" w:hAnsi="Palatino Linotype"/>
          <w:bCs/>
          <w:sz w:val="22"/>
          <w:szCs w:val="22"/>
        </w:rPr>
        <w:t xml:space="preserve">Add Urbanized Area and County layers </w:t>
      </w:r>
    </w:p>
    <w:p w14:paraId="6A9FD0AF" w14:textId="0538A449" w:rsidR="00246144" w:rsidRDefault="00637C9A" w:rsidP="00246144">
      <w:pPr>
        <w:pStyle w:val="ListParagraph"/>
        <w:spacing w:after="100" w:afterAutospacing="1"/>
        <w:rPr>
          <w:rFonts w:ascii="Palatino Linotype" w:hAnsi="Palatino Linotype"/>
          <w:bCs/>
          <w:sz w:val="22"/>
          <w:szCs w:val="22"/>
        </w:rPr>
      </w:pPr>
      <w:r>
        <w:rPr>
          <w:noProof/>
        </w:rPr>
        <w:drawing>
          <wp:inline distT="0" distB="0" distL="0" distR="0" wp14:anchorId="69033E49" wp14:editId="29762787">
            <wp:extent cx="2619375" cy="438150"/>
            <wp:effectExtent l="0" t="0" r="9525" b="0"/>
            <wp:docPr id="1741591015" name="Picture 1" descr="A white computer screen with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91015" name="Picture 1" descr="A white computer screen with a black square&#10;&#10;Description automatically generated"/>
                    <pic:cNvPicPr/>
                  </pic:nvPicPr>
                  <pic:blipFill rotWithShape="1">
                    <a:blip r:embed="rId21"/>
                    <a:srcRect t="8197" b="16394"/>
                    <a:stretch/>
                  </pic:blipFill>
                  <pic:spPr bwMode="auto">
                    <a:xfrm>
                      <a:off x="0" y="0"/>
                      <a:ext cx="2619375" cy="438150"/>
                    </a:xfrm>
                    <a:prstGeom prst="rect">
                      <a:avLst/>
                    </a:prstGeom>
                    <a:ln>
                      <a:noFill/>
                    </a:ln>
                    <a:extLst>
                      <a:ext uri="{53640926-AAD7-44D8-BBD7-CCE9431645EC}">
                        <a14:shadowObscured xmlns:a14="http://schemas.microsoft.com/office/drawing/2010/main"/>
                      </a:ext>
                    </a:extLst>
                  </pic:spPr>
                </pic:pic>
              </a:graphicData>
            </a:graphic>
          </wp:inline>
        </w:drawing>
      </w:r>
    </w:p>
    <w:p w14:paraId="2358B1B3" w14:textId="77777777" w:rsidR="00997164" w:rsidRDefault="00997164" w:rsidP="00246144">
      <w:pPr>
        <w:pStyle w:val="ListParagraph"/>
        <w:spacing w:after="100" w:afterAutospacing="1"/>
        <w:rPr>
          <w:rFonts w:ascii="Palatino Linotype" w:hAnsi="Palatino Linotype"/>
          <w:bCs/>
          <w:sz w:val="22"/>
          <w:szCs w:val="22"/>
        </w:rPr>
      </w:pPr>
    </w:p>
    <w:p w14:paraId="4A15DE81" w14:textId="4551C2BD" w:rsidR="00637C9A" w:rsidRDefault="00997164" w:rsidP="00637C9A">
      <w:pPr>
        <w:pStyle w:val="ListParagraph"/>
        <w:numPr>
          <w:ilvl w:val="0"/>
          <w:numId w:val="30"/>
        </w:numPr>
        <w:spacing w:after="100" w:afterAutospacing="1"/>
        <w:rPr>
          <w:rFonts w:ascii="Palatino Linotype" w:hAnsi="Palatino Linotype"/>
          <w:bCs/>
          <w:sz w:val="22"/>
          <w:szCs w:val="22"/>
        </w:rPr>
      </w:pPr>
      <w:r>
        <w:rPr>
          <w:noProof/>
        </w:rPr>
        <w:drawing>
          <wp:anchor distT="0" distB="0" distL="114300" distR="114300" simplePos="0" relativeHeight="251663361" behindDoc="1" locked="0" layoutInCell="1" allowOverlap="1" wp14:anchorId="490B9032" wp14:editId="48402083">
            <wp:simplePos x="0" y="0"/>
            <wp:positionH relativeFrom="column">
              <wp:posOffset>2867025</wp:posOffset>
            </wp:positionH>
            <wp:positionV relativeFrom="paragraph">
              <wp:posOffset>11430</wp:posOffset>
            </wp:positionV>
            <wp:extent cx="1421765" cy="1647825"/>
            <wp:effectExtent l="0" t="0" r="6985" b="9525"/>
            <wp:wrapTight wrapText="bothSides">
              <wp:wrapPolygon edited="0">
                <wp:start x="0" y="0"/>
                <wp:lineTo x="0" y="21475"/>
                <wp:lineTo x="21417" y="21475"/>
                <wp:lineTo x="21417" y="0"/>
                <wp:lineTo x="0" y="0"/>
              </wp:wrapPolygon>
            </wp:wrapTight>
            <wp:docPr id="1486134070"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34070" name="Picture 1" descr="A screenshot of a phon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421765" cy="1647825"/>
                    </a:xfrm>
                    <a:prstGeom prst="rect">
                      <a:avLst/>
                    </a:prstGeom>
                  </pic:spPr>
                </pic:pic>
              </a:graphicData>
            </a:graphic>
            <wp14:sizeRelH relativeFrom="margin">
              <wp14:pctWidth>0</wp14:pctWidth>
            </wp14:sizeRelH>
            <wp14:sizeRelV relativeFrom="margin">
              <wp14:pctHeight>0</wp14:pctHeight>
            </wp14:sizeRelV>
          </wp:anchor>
        </w:drawing>
      </w:r>
      <w:r w:rsidR="00637C9A">
        <w:rPr>
          <w:rFonts w:ascii="Palatino Linotype" w:hAnsi="Palatino Linotype"/>
          <w:bCs/>
          <w:sz w:val="22"/>
          <w:szCs w:val="22"/>
        </w:rPr>
        <w:t>Click the “Tools” icon</w:t>
      </w:r>
    </w:p>
    <w:p w14:paraId="1C35E7D1" w14:textId="79634E6B" w:rsidR="00637C9A" w:rsidRDefault="007F2609" w:rsidP="00637C9A">
      <w:pPr>
        <w:pStyle w:val="ListParagraph"/>
        <w:numPr>
          <w:ilvl w:val="0"/>
          <w:numId w:val="30"/>
        </w:numPr>
        <w:spacing w:after="100" w:afterAutospacing="1"/>
        <w:rPr>
          <w:rFonts w:ascii="Palatino Linotype" w:hAnsi="Palatino Linotype"/>
          <w:bCs/>
          <w:sz w:val="22"/>
          <w:szCs w:val="22"/>
        </w:rPr>
      </w:pPr>
      <w:r>
        <w:rPr>
          <w:rFonts w:ascii="Palatino Linotype" w:hAnsi="Palatino Linotype"/>
          <w:bCs/>
          <w:sz w:val="22"/>
          <w:szCs w:val="22"/>
        </w:rPr>
        <w:t xml:space="preserve">Then click </w:t>
      </w:r>
      <w:r w:rsidR="00604122">
        <w:rPr>
          <w:rFonts w:ascii="Palatino Linotype" w:hAnsi="Palatino Linotype"/>
          <w:bCs/>
          <w:sz w:val="22"/>
          <w:szCs w:val="22"/>
        </w:rPr>
        <w:t>“Boundaries”</w:t>
      </w:r>
    </w:p>
    <w:p w14:paraId="2EF5F7AE" w14:textId="6A4DCA2B" w:rsidR="00997164" w:rsidRPr="00997164" w:rsidRDefault="00997164" w:rsidP="00997164">
      <w:pPr>
        <w:spacing w:after="100" w:afterAutospacing="1"/>
        <w:ind w:left="1080"/>
        <w:rPr>
          <w:rFonts w:ascii="Palatino Linotype" w:hAnsi="Palatino Linotype"/>
          <w:bCs/>
          <w:sz w:val="22"/>
          <w:szCs w:val="22"/>
        </w:rPr>
      </w:pPr>
    </w:p>
    <w:p w14:paraId="75BFFC83" w14:textId="77777777" w:rsidR="009271AA" w:rsidRDefault="009271AA" w:rsidP="000F2C00">
      <w:pPr>
        <w:spacing w:after="100" w:afterAutospacing="1"/>
        <w:rPr>
          <w:rFonts w:ascii="Palatino Linotype" w:hAnsi="Palatino Linotype"/>
          <w:b/>
          <w:color w:val="538135" w:themeColor="accent6" w:themeShade="BF"/>
          <w:sz w:val="22"/>
          <w:szCs w:val="22"/>
        </w:rPr>
      </w:pPr>
    </w:p>
    <w:p w14:paraId="3A029E2F" w14:textId="77777777" w:rsidR="00997164" w:rsidRDefault="00997164" w:rsidP="000F2C00">
      <w:pPr>
        <w:spacing w:after="100" w:afterAutospacing="1"/>
        <w:rPr>
          <w:rFonts w:ascii="Palatino Linotype" w:hAnsi="Palatino Linotype"/>
          <w:b/>
          <w:color w:val="538135" w:themeColor="accent6" w:themeShade="BF"/>
          <w:sz w:val="22"/>
          <w:szCs w:val="22"/>
        </w:rPr>
      </w:pPr>
    </w:p>
    <w:p w14:paraId="70981422" w14:textId="7E9D6071" w:rsidR="00997164" w:rsidRPr="00B001D6" w:rsidRDefault="00AA253C"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t>Map Contents will appear in the upper right corner of the screen</w:t>
      </w:r>
    </w:p>
    <w:p w14:paraId="1C8548F5" w14:textId="54EB189D" w:rsidR="00AA253C" w:rsidRPr="00B001D6" w:rsidRDefault="007758F1"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t xml:space="preserve">Enter </w:t>
      </w:r>
      <w:r w:rsidR="00AF6D36" w:rsidRPr="00B001D6">
        <w:rPr>
          <w:rFonts w:ascii="Palatino Linotype" w:hAnsi="Palatino Linotype"/>
          <w:bCs/>
          <w:sz w:val="22"/>
          <w:szCs w:val="22"/>
        </w:rPr>
        <w:t>the city of interest in the search bar</w:t>
      </w:r>
    </w:p>
    <w:p w14:paraId="0396F3AE" w14:textId="354EFBD8" w:rsidR="00AF6D36" w:rsidRPr="00B001D6" w:rsidRDefault="00AF6D36" w:rsidP="00AA253C">
      <w:pPr>
        <w:pStyle w:val="ListParagraph"/>
        <w:numPr>
          <w:ilvl w:val="0"/>
          <w:numId w:val="30"/>
        </w:numPr>
        <w:spacing w:after="100" w:afterAutospacing="1"/>
        <w:rPr>
          <w:rFonts w:ascii="Palatino Linotype" w:hAnsi="Palatino Linotype"/>
          <w:bCs/>
          <w:sz w:val="22"/>
          <w:szCs w:val="22"/>
        </w:rPr>
      </w:pPr>
      <w:r w:rsidRPr="00B001D6">
        <w:rPr>
          <w:rFonts w:ascii="Palatino Linotype" w:hAnsi="Palatino Linotype"/>
          <w:bCs/>
          <w:sz w:val="22"/>
          <w:szCs w:val="22"/>
        </w:rPr>
        <w:lastRenderedPageBreak/>
        <w:t>Select “Urbanized Areas” and “Counties” to show the urbanized area and county boundaries on the map.</w:t>
      </w:r>
    </w:p>
    <w:p w14:paraId="216FC4A1" w14:textId="666E93D0" w:rsidR="00AF6D36" w:rsidRPr="00B001D6" w:rsidRDefault="00AF6D36" w:rsidP="00AF6D36">
      <w:pPr>
        <w:pStyle w:val="ListParagraph"/>
        <w:spacing w:after="100" w:afterAutospacing="1"/>
        <w:ind w:left="1440"/>
        <w:rPr>
          <w:rFonts w:ascii="Palatino Linotype" w:hAnsi="Palatino Linotype"/>
          <w:bCs/>
          <w:sz w:val="22"/>
          <w:szCs w:val="22"/>
        </w:rPr>
      </w:pPr>
      <w:r w:rsidRPr="00B001D6">
        <w:rPr>
          <w:noProof/>
        </w:rPr>
        <w:drawing>
          <wp:inline distT="0" distB="0" distL="0" distR="0" wp14:anchorId="3B298CD9" wp14:editId="7A44032C">
            <wp:extent cx="4256405" cy="2038350"/>
            <wp:effectExtent l="0" t="0" r="0" b="0"/>
            <wp:docPr id="1856169545" name="Picture 1"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69545" name="Picture 1" descr="A screenshot of a map&#10;&#10;Description automatically generated"/>
                    <pic:cNvPicPr/>
                  </pic:nvPicPr>
                  <pic:blipFill rotWithShape="1">
                    <a:blip r:embed="rId23"/>
                    <a:srcRect l="5544" t="7380" r="2683" b="4880"/>
                    <a:stretch/>
                  </pic:blipFill>
                  <pic:spPr bwMode="auto">
                    <a:xfrm>
                      <a:off x="0" y="0"/>
                      <a:ext cx="4263268" cy="2041637"/>
                    </a:xfrm>
                    <a:prstGeom prst="rect">
                      <a:avLst/>
                    </a:prstGeom>
                    <a:ln>
                      <a:noFill/>
                    </a:ln>
                    <a:extLst>
                      <a:ext uri="{53640926-AAD7-44D8-BBD7-CCE9431645EC}">
                        <a14:shadowObscured xmlns:a14="http://schemas.microsoft.com/office/drawing/2010/main"/>
                      </a:ext>
                    </a:extLst>
                  </pic:spPr>
                </pic:pic>
              </a:graphicData>
            </a:graphic>
          </wp:inline>
        </w:drawing>
      </w:r>
    </w:p>
    <w:p w14:paraId="0BF6D01A" w14:textId="13C747CB" w:rsidR="000B205D" w:rsidRPr="00576749" w:rsidRDefault="000B205D" w:rsidP="00576749">
      <w:pPr>
        <w:pStyle w:val="ListParagraph"/>
        <w:numPr>
          <w:ilvl w:val="0"/>
          <w:numId w:val="28"/>
        </w:numPr>
        <w:spacing w:after="100" w:afterAutospacing="1"/>
        <w:rPr>
          <w:rFonts w:ascii="Palatino Linotype" w:hAnsi="Palatino Linotype"/>
          <w:bCs/>
          <w:sz w:val="22"/>
          <w:szCs w:val="22"/>
        </w:rPr>
      </w:pPr>
      <w:r w:rsidRPr="00576749">
        <w:rPr>
          <w:rFonts w:ascii="Palatino Linotype" w:hAnsi="Palatino Linotype"/>
          <w:bCs/>
          <w:sz w:val="22"/>
          <w:szCs w:val="22"/>
        </w:rPr>
        <w:t>Click on “Reports” in the upper left box</w:t>
      </w:r>
    </w:p>
    <w:p w14:paraId="4E9A1D8F" w14:textId="096CE77F" w:rsidR="000B205D" w:rsidRDefault="0045540F" w:rsidP="000B205D">
      <w:pPr>
        <w:pStyle w:val="ListParagraph"/>
        <w:spacing w:after="100" w:afterAutospacing="1"/>
        <w:ind w:left="1440"/>
        <w:rPr>
          <w:noProof/>
        </w:rPr>
      </w:pPr>
      <w:r>
        <w:rPr>
          <w:noProof/>
        </w:rPr>
        <w:drawing>
          <wp:inline distT="0" distB="0" distL="0" distR="0" wp14:anchorId="2ED046A9" wp14:editId="33ED965C">
            <wp:extent cx="2238375" cy="419100"/>
            <wp:effectExtent l="0" t="0" r="9525" b="0"/>
            <wp:docPr id="1241803104" name="Picture 1" descr="A yellow and white square with a green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03104" name="Picture 1" descr="A yellow and white square with a green square&#10;&#10;Description automatically generated"/>
                    <pic:cNvPicPr/>
                  </pic:nvPicPr>
                  <pic:blipFill rotWithShape="1">
                    <a:blip r:embed="rId24"/>
                    <a:srcRect t="12000"/>
                    <a:stretch/>
                  </pic:blipFill>
                  <pic:spPr bwMode="auto">
                    <a:xfrm>
                      <a:off x="0" y="0"/>
                      <a:ext cx="2238375" cy="419100"/>
                    </a:xfrm>
                    <a:prstGeom prst="rect">
                      <a:avLst/>
                    </a:prstGeom>
                    <a:ln>
                      <a:noFill/>
                    </a:ln>
                    <a:extLst>
                      <a:ext uri="{53640926-AAD7-44D8-BBD7-CCE9431645EC}">
                        <a14:shadowObscured xmlns:a14="http://schemas.microsoft.com/office/drawing/2010/main"/>
                      </a:ext>
                    </a:extLst>
                  </pic:spPr>
                </pic:pic>
              </a:graphicData>
            </a:graphic>
          </wp:inline>
        </w:drawing>
      </w:r>
    </w:p>
    <w:p w14:paraId="436C0AA3" w14:textId="23532CC1" w:rsidR="003277D7" w:rsidRDefault="004925C3" w:rsidP="004925C3">
      <w:pPr>
        <w:pStyle w:val="ListParagraph"/>
        <w:numPr>
          <w:ilvl w:val="0"/>
          <w:numId w:val="30"/>
        </w:numPr>
        <w:spacing w:after="100" w:afterAutospacing="1"/>
        <w:rPr>
          <w:rFonts w:ascii="Palatino Linotype" w:hAnsi="Palatino Linotype"/>
          <w:bCs/>
          <w:sz w:val="22"/>
          <w:szCs w:val="22"/>
        </w:rPr>
      </w:pPr>
      <w:r>
        <w:rPr>
          <w:rFonts w:ascii="Palatino Linotype" w:hAnsi="Palatino Linotype"/>
          <w:bCs/>
          <w:sz w:val="22"/>
          <w:szCs w:val="22"/>
        </w:rPr>
        <w:t xml:space="preserve">Define the project area using one of the </w:t>
      </w:r>
      <w:r w:rsidR="00B22643">
        <w:rPr>
          <w:rFonts w:ascii="Palatino Linotype" w:hAnsi="Palatino Linotype"/>
          <w:bCs/>
          <w:sz w:val="22"/>
          <w:szCs w:val="22"/>
        </w:rPr>
        <w:t>provided</w:t>
      </w:r>
      <w:r>
        <w:rPr>
          <w:rFonts w:ascii="Palatino Linotype" w:hAnsi="Palatino Linotype"/>
          <w:bCs/>
          <w:sz w:val="22"/>
          <w:szCs w:val="22"/>
        </w:rPr>
        <w:t xml:space="preserve"> options</w:t>
      </w:r>
    </w:p>
    <w:p w14:paraId="59986374" w14:textId="77777777" w:rsidR="00490BE1" w:rsidRDefault="001841BD" w:rsidP="00490BE1">
      <w:pPr>
        <w:pStyle w:val="ListParagraph"/>
        <w:spacing w:after="100" w:afterAutospacing="1"/>
        <w:ind w:left="1890"/>
        <w:rPr>
          <w:rFonts w:ascii="Palatino Linotype" w:hAnsi="Palatino Linotype"/>
          <w:bCs/>
          <w:sz w:val="22"/>
          <w:szCs w:val="22"/>
        </w:rPr>
      </w:pPr>
      <w:r>
        <w:rPr>
          <w:noProof/>
        </w:rPr>
        <w:drawing>
          <wp:anchor distT="0" distB="0" distL="114300" distR="114300" simplePos="0" relativeHeight="251664385" behindDoc="0" locked="0" layoutInCell="1" allowOverlap="1" wp14:anchorId="70285814" wp14:editId="486BE805">
            <wp:simplePos x="0" y="0"/>
            <wp:positionH relativeFrom="column">
              <wp:posOffset>933450</wp:posOffset>
            </wp:positionH>
            <wp:positionV relativeFrom="paragraph">
              <wp:posOffset>66675</wp:posOffset>
            </wp:positionV>
            <wp:extent cx="1638300" cy="1836882"/>
            <wp:effectExtent l="0" t="0" r="0" b="0"/>
            <wp:wrapSquare wrapText="bothSides"/>
            <wp:docPr id="2131716898"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16898" name="Picture 1" descr="A screenshot of a phon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1638300" cy="1836882"/>
                    </a:xfrm>
                    <a:prstGeom prst="rect">
                      <a:avLst/>
                    </a:prstGeom>
                  </pic:spPr>
                </pic:pic>
              </a:graphicData>
            </a:graphic>
          </wp:anchor>
        </w:drawing>
      </w:r>
    </w:p>
    <w:p w14:paraId="4918E626" w14:textId="724DC3D7" w:rsidR="004925C3" w:rsidRDefault="00AE5E49" w:rsidP="00AE5E49">
      <w:pPr>
        <w:pStyle w:val="ListParagraph"/>
        <w:numPr>
          <w:ilvl w:val="0"/>
          <w:numId w:val="34"/>
        </w:numPr>
        <w:spacing w:after="100" w:afterAutospacing="1"/>
        <w:rPr>
          <w:rFonts w:ascii="Palatino Linotype" w:hAnsi="Palatino Linotype"/>
          <w:bCs/>
          <w:sz w:val="22"/>
          <w:szCs w:val="22"/>
        </w:rPr>
      </w:pPr>
      <w:r>
        <w:rPr>
          <w:rFonts w:ascii="Palatino Linotype" w:hAnsi="Palatino Linotype"/>
          <w:bCs/>
          <w:sz w:val="22"/>
          <w:szCs w:val="22"/>
        </w:rPr>
        <w:t xml:space="preserve"> </w:t>
      </w:r>
      <w:r w:rsidR="002C7644">
        <w:rPr>
          <w:rFonts w:ascii="Palatino Linotype" w:hAnsi="Palatino Linotype"/>
          <w:bCs/>
          <w:sz w:val="22"/>
          <w:szCs w:val="22"/>
        </w:rPr>
        <w:t>In this example, the option has been chosen to choose a county</w:t>
      </w:r>
      <w:r w:rsidR="00490BE1">
        <w:rPr>
          <w:rFonts w:ascii="Palatino Linotype" w:hAnsi="Palatino Linotype"/>
          <w:bCs/>
          <w:sz w:val="22"/>
          <w:szCs w:val="22"/>
        </w:rPr>
        <w:t xml:space="preserve">. </w:t>
      </w:r>
      <w:proofErr w:type="gramStart"/>
      <w:r w:rsidR="00490BE1">
        <w:rPr>
          <w:rFonts w:ascii="Palatino Linotype" w:hAnsi="Palatino Linotype"/>
          <w:bCs/>
          <w:sz w:val="22"/>
          <w:szCs w:val="22"/>
        </w:rPr>
        <w:t>The geography</w:t>
      </w:r>
      <w:proofErr w:type="gramEnd"/>
      <w:r w:rsidR="00490BE1">
        <w:rPr>
          <w:rFonts w:ascii="Palatino Linotype" w:hAnsi="Palatino Linotype"/>
          <w:bCs/>
          <w:sz w:val="22"/>
          <w:szCs w:val="22"/>
        </w:rPr>
        <w:t xml:space="preserve"> may be defined by the user using any of the options.</w:t>
      </w:r>
      <w:r w:rsidR="001841BD">
        <w:rPr>
          <w:rFonts w:ascii="Palatino Linotype" w:hAnsi="Palatino Linotype"/>
          <w:bCs/>
          <w:sz w:val="22"/>
          <w:szCs w:val="22"/>
        </w:rPr>
        <w:br w:type="textWrapping" w:clear="all"/>
      </w:r>
    </w:p>
    <w:p w14:paraId="13E46E89" w14:textId="06E5A9EB" w:rsidR="00490BE1" w:rsidRDefault="005E4D23" w:rsidP="00B734B6">
      <w:pPr>
        <w:pStyle w:val="ListParagraph"/>
        <w:numPr>
          <w:ilvl w:val="0"/>
          <w:numId w:val="32"/>
        </w:numPr>
        <w:spacing w:after="100" w:afterAutospacing="1"/>
        <w:ind w:left="1440"/>
        <w:rPr>
          <w:rFonts w:ascii="Palatino Linotype" w:hAnsi="Palatino Linotype"/>
          <w:bCs/>
          <w:sz w:val="22"/>
          <w:szCs w:val="22"/>
        </w:rPr>
      </w:pPr>
      <w:r>
        <w:rPr>
          <w:rFonts w:ascii="Palatino Linotype" w:hAnsi="Palatino Linotype"/>
          <w:bCs/>
          <w:sz w:val="22"/>
          <w:szCs w:val="22"/>
        </w:rPr>
        <w:t xml:space="preserve">Choose </w:t>
      </w:r>
      <w:r w:rsidR="00F23E6E">
        <w:rPr>
          <w:rFonts w:ascii="Palatino Linotype" w:hAnsi="Palatino Linotype"/>
          <w:bCs/>
          <w:sz w:val="22"/>
          <w:szCs w:val="22"/>
        </w:rPr>
        <w:t xml:space="preserve">either </w:t>
      </w:r>
      <w:r>
        <w:rPr>
          <w:rFonts w:ascii="Palatino Linotype" w:hAnsi="Palatino Linotype"/>
          <w:bCs/>
          <w:sz w:val="22"/>
          <w:szCs w:val="22"/>
        </w:rPr>
        <w:t>option in the box to explore</w:t>
      </w:r>
      <w:r w:rsidR="00F23E6E">
        <w:rPr>
          <w:rFonts w:ascii="Palatino Linotype" w:hAnsi="Palatino Linotype"/>
          <w:bCs/>
          <w:sz w:val="22"/>
          <w:szCs w:val="22"/>
        </w:rPr>
        <w:t xml:space="preserve"> the </w:t>
      </w:r>
      <w:r>
        <w:rPr>
          <w:rFonts w:ascii="Palatino Linotype" w:hAnsi="Palatino Linotype"/>
          <w:bCs/>
          <w:sz w:val="22"/>
          <w:szCs w:val="22"/>
        </w:rPr>
        <w:t xml:space="preserve">various </w:t>
      </w:r>
      <w:r w:rsidR="00451566">
        <w:rPr>
          <w:rFonts w:ascii="Palatino Linotype" w:hAnsi="Palatino Linotype"/>
          <w:bCs/>
          <w:sz w:val="22"/>
          <w:szCs w:val="22"/>
        </w:rPr>
        <w:t>information that can be obtained.</w:t>
      </w:r>
    </w:p>
    <w:p w14:paraId="6F58F9C0" w14:textId="5F58E56E" w:rsidR="00451566" w:rsidRDefault="00FE243D" w:rsidP="00451566">
      <w:pPr>
        <w:pStyle w:val="ListParagraph"/>
        <w:spacing w:after="100" w:afterAutospacing="1"/>
        <w:ind w:left="1440"/>
        <w:rPr>
          <w:rFonts w:ascii="Palatino Linotype" w:hAnsi="Palatino Linotype"/>
          <w:bCs/>
          <w:sz w:val="22"/>
          <w:szCs w:val="22"/>
        </w:rPr>
      </w:pPr>
      <w:r>
        <w:rPr>
          <w:noProof/>
        </w:rPr>
        <w:drawing>
          <wp:inline distT="0" distB="0" distL="0" distR="0" wp14:anchorId="70669FE6" wp14:editId="7EFAA70B">
            <wp:extent cx="3521416" cy="2428875"/>
            <wp:effectExtent l="0" t="0" r="3175" b="0"/>
            <wp:docPr id="2869694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69456" name="Picture 1" descr="A screenshot of a computer screen&#10;&#10;Description automatically generated"/>
                    <pic:cNvPicPr/>
                  </pic:nvPicPr>
                  <pic:blipFill>
                    <a:blip r:embed="rId26"/>
                    <a:stretch>
                      <a:fillRect/>
                    </a:stretch>
                  </pic:blipFill>
                  <pic:spPr>
                    <a:xfrm>
                      <a:off x="0" y="0"/>
                      <a:ext cx="3542787" cy="2443616"/>
                    </a:xfrm>
                    <a:prstGeom prst="rect">
                      <a:avLst/>
                    </a:prstGeom>
                  </pic:spPr>
                </pic:pic>
              </a:graphicData>
            </a:graphic>
          </wp:inline>
        </w:drawing>
      </w:r>
    </w:p>
    <w:p w14:paraId="46161A7F" w14:textId="086B7828" w:rsidR="00FE243D" w:rsidRPr="004827DA" w:rsidRDefault="00214E3E" w:rsidP="004827DA">
      <w:pPr>
        <w:pStyle w:val="ListParagraph"/>
        <w:numPr>
          <w:ilvl w:val="0"/>
          <w:numId w:val="28"/>
        </w:numPr>
        <w:spacing w:after="100" w:afterAutospacing="1"/>
        <w:rPr>
          <w:rFonts w:ascii="Palatino Linotype" w:hAnsi="Palatino Linotype"/>
          <w:bCs/>
          <w:sz w:val="22"/>
          <w:szCs w:val="22"/>
        </w:rPr>
      </w:pPr>
      <w:r w:rsidRPr="004827DA">
        <w:rPr>
          <w:rFonts w:ascii="Palatino Linotype" w:hAnsi="Palatino Linotype"/>
          <w:bCs/>
          <w:sz w:val="22"/>
          <w:szCs w:val="22"/>
        </w:rPr>
        <w:lastRenderedPageBreak/>
        <w:t xml:space="preserve">Obtain population density and per capita income information from either </w:t>
      </w:r>
      <w:r w:rsidR="00930A2E" w:rsidRPr="004827DA">
        <w:rPr>
          <w:rFonts w:ascii="Palatino Linotype" w:hAnsi="Palatino Linotype"/>
          <w:bCs/>
          <w:sz w:val="22"/>
          <w:szCs w:val="22"/>
        </w:rPr>
        <w:t xml:space="preserve">of the options. The “EJScreen Community Report” </w:t>
      </w:r>
      <w:r w:rsidR="00CF53E8" w:rsidRPr="004827DA">
        <w:rPr>
          <w:rFonts w:ascii="Palatino Linotype" w:hAnsi="Palatino Linotype"/>
          <w:bCs/>
          <w:sz w:val="22"/>
          <w:szCs w:val="22"/>
        </w:rPr>
        <w:t>lists the information in the ‘Community Information’ section. That report may be saved as a PDF by clicking the ‘Print’ option in the upper right corner.</w:t>
      </w:r>
    </w:p>
    <w:p w14:paraId="0348DDF2" w14:textId="793BB668" w:rsidR="007A2D66" w:rsidRPr="002F501B" w:rsidRDefault="007A2D66" w:rsidP="007A2D66">
      <w:pPr>
        <w:spacing w:after="100" w:afterAutospacing="1"/>
        <w:ind w:left="360"/>
        <w:rPr>
          <w:rFonts w:ascii="Palatino Linotype" w:hAnsi="Palatino Linotype"/>
          <w:b/>
          <w:sz w:val="22"/>
          <w:szCs w:val="22"/>
        </w:rPr>
      </w:pPr>
      <w:r w:rsidRPr="002F501B">
        <w:rPr>
          <w:rFonts w:ascii="Palatino Linotype" w:hAnsi="Palatino Linotype"/>
          <w:b/>
          <w:sz w:val="22"/>
          <w:szCs w:val="22"/>
        </w:rPr>
        <w:t xml:space="preserve">Example </w:t>
      </w:r>
      <w:r w:rsidR="002F501B" w:rsidRPr="002F501B">
        <w:rPr>
          <w:rFonts w:ascii="Palatino Linotype" w:hAnsi="Palatino Linotype"/>
          <w:b/>
          <w:sz w:val="22"/>
          <w:szCs w:val="22"/>
        </w:rPr>
        <w:t>Application</w:t>
      </w:r>
    </w:p>
    <w:p w14:paraId="178BE6AB" w14:textId="43ABF163" w:rsidR="007A2D66" w:rsidRDefault="002F501B" w:rsidP="0019054E">
      <w:pPr>
        <w:ind w:left="360"/>
        <w:rPr>
          <w:rFonts w:ascii="Palatino Linotype" w:hAnsi="Palatino Linotype"/>
          <w:bCs/>
          <w:sz w:val="22"/>
          <w:szCs w:val="22"/>
        </w:rPr>
      </w:pPr>
      <w:r>
        <w:rPr>
          <w:rFonts w:ascii="Palatino Linotype" w:hAnsi="Palatino Linotype"/>
          <w:bCs/>
          <w:sz w:val="22"/>
          <w:szCs w:val="22"/>
        </w:rPr>
        <w:t>The map</w:t>
      </w:r>
      <w:r w:rsidR="007A2D66" w:rsidRPr="007A2D66">
        <w:rPr>
          <w:rFonts w:ascii="Palatino Linotype" w:hAnsi="Palatino Linotype"/>
          <w:bCs/>
          <w:sz w:val="22"/>
          <w:szCs w:val="22"/>
        </w:rPr>
        <w:t xml:space="preserve"> below shows the boundaries of counties around Raleigh, NC. If the study area is Wake County as shown, the adjoining areas are Franklin County (Adjoining Area 1), Johnston County (Adjoining Area 2), and Durham County (Adjoining Area 3). Income and population density information for the study area and adjoining area are shown in </w:t>
      </w:r>
      <w:r>
        <w:rPr>
          <w:rFonts w:ascii="Palatino Linotype" w:hAnsi="Palatino Linotype"/>
          <w:bCs/>
          <w:sz w:val="22"/>
          <w:szCs w:val="22"/>
        </w:rPr>
        <w:t>the table</w:t>
      </w:r>
      <w:r w:rsidR="007A2D66" w:rsidRPr="007A2D66">
        <w:rPr>
          <w:rFonts w:ascii="Palatino Linotype" w:hAnsi="Palatino Linotype"/>
          <w:bCs/>
          <w:sz w:val="22"/>
          <w:szCs w:val="22"/>
        </w:rPr>
        <w:t xml:space="preserve"> below. </w:t>
      </w:r>
      <w:r w:rsidR="00B93959">
        <w:rPr>
          <w:rFonts w:ascii="Palatino Linotype" w:hAnsi="Palatino Linotype"/>
          <w:bCs/>
          <w:sz w:val="22"/>
          <w:szCs w:val="22"/>
        </w:rPr>
        <w:t>The t</w:t>
      </w:r>
      <w:r w:rsidR="007A2D66" w:rsidRPr="007A2D66">
        <w:rPr>
          <w:rFonts w:ascii="Palatino Linotype" w:hAnsi="Palatino Linotype"/>
          <w:bCs/>
          <w:sz w:val="22"/>
          <w:szCs w:val="22"/>
        </w:rPr>
        <w:t xml:space="preserve">able shows that the population density in Wake County (study area) is higher than all the surrounding counties. In terms of Per Capita Income, Wake County’s income is also higher than the surrounding areas so planning-related studies in Wake County are </w:t>
      </w:r>
      <w:r w:rsidR="007A2D66" w:rsidRPr="00B93959">
        <w:rPr>
          <w:rFonts w:ascii="Palatino Linotype" w:hAnsi="Palatino Linotype"/>
          <w:b/>
          <w:sz w:val="22"/>
          <w:szCs w:val="22"/>
          <w:u w:val="single"/>
        </w:rPr>
        <w:t>not eligible</w:t>
      </w:r>
      <w:r w:rsidR="007A2D66" w:rsidRPr="007A2D66">
        <w:rPr>
          <w:rFonts w:ascii="Palatino Linotype" w:hAnsi="Palatino Linotype"/>
          <w:bCs/>
          <w:sz w:val="22"/>
          <w:szCs w:val="22"/>
        </w:rPr>
        <w:t xml:space="preserve"> for the increased federal share based on the density criteria, as well as the income criteria.</w:t>
      </w:r>
    </w:p>
    <w:p w14:paraId="0B2BB955" w14:textId="57697DD5" w:rsidR="00E25291" w:rsidRDefault="00E25291" w:rsidP="007A2D66">
      <w:pPr>
        <w:spacing w:after="100" w:afterAutospacing="1"/>
        <w:ind w:left="360"/>
        <w:rPr>
          <w:rFonts w:ascii="Palatino Linotype" w:hAnsi="Palatino Linotype"/>
          <w:bCs/>
          <w:sz w:val="22"/>
          <w:szCs w:val="22"/>
        </w:rPr>
      </w:pPr>
      <w:r>
        <w:rPr>
          <w:noProof/>
        </w:rPr>
        <w:drawing>
          <wp:inline distT="0" distB="0" distL="0" distR="0" wp14:anchorId="050D3903" wp14:editId="64EEC8B2">
            <wp:extent cx="2752725" cy="2988432"/>
            <wp:effectExtent l="0" t="0" r="0" b="2540"/>
            <wp:docPr id="307503074" name="Picture 1" descr="A map of a stud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03074" name="Picture 1" descr="A map of a study area&#10;&#10;Description automatically generated"/>
                    <pic:cNvPicPr/>
                  </pic:nvPicPr>
                  <pic:blipFill>
                    <a:blip r:embed="rId27"/>
                    <a:stretch>
                      <a:fillRect/>
                    </a:stretch>
                  </pic:blipFill>
                  <pic:spPr>
                    <a:xfrm>
                      <a:off x="0" y="0"/>
                      <a:ext cx="2765286" cy="3002069"/>
                    </a:xfrm>
                    <a:prstGeom prst="rect">
                      <a:avLst/>
                    </a:prstGeom>
                  </pic:spPr>
                </pic:pic>
              </a:graphicData>
            </a:graphic>
          </wp:inline>
        </w:drawing>
      </w:r>
    </w:p>
    <w:p w14:paraId="2AF1D7DB" w14:textId="3D547269" w:rsidR="00E25291" w:rsidRPr="00DD1F2D" w:rsidRDefault="00593F81" w:rsidP="00DD1F2D">
      <w:pPr>
        <w:ind w:left="360"/>
        <w:rPr>
          <w:rFonts w:ascii="Palatino Linotype" w:hAnsi="Palatino Linotype"/>
          <w:bCs/>
          <w:sz w:val="22"/>
          <w:szCs w:val="22"/>
        </w:rPr>
      </w:pPr>
      <w:r w:rsidRPr="00DD1F2D">
        <w:rPr>
          <w:rFonts w:ascii="Palatino Linotype" w:hAnsi="Palatino Linotype"/>
          <w:bCs/>
          <w:sz w:val="22"/>
          <w:szCs w:val="22"/>
        </w:rPr>
        <w:t>Income and Population Density Information for the Project Area and Adjoining Areas</w:t>
      </w:r>
    </w:p>
    <w:tbl>
      <w:tblPr>
        <w:tblStyle w:val="TableGrid"/>
        <w:tblW w:w="0" w:type="auto"/>
        <w:tblInd w:w="360" w:type="dxa"/>
        <w:tblLook w:val="04A0" w:firstRow="1" w:lastRow="0" w:firstColumn="1" w:lastColumn="0" w:noHBand="0" w:noVBand="1"/>
      </w:tblPr>
      <w:tblGrid>
        <w:gridCol w:w="2065"/>
        <w:gridCol w:w="3600"/>
        <w:gridCol w:w="3325"/>
      </w:tblGrid>
      <w:tr w:rsidR="001B5E5A" w:rsidRPr="00883612" w14:paraId="221310D2" w14:textId="77777777" w:rsidTr="00883612">
        <w:tc>
          <w:tcPr>
            <w:tcW w:w="2065" w:type="dxa"/>
            <w:shd w:val="clear" w:color="auto" w:fill="B4C6E7" w:themeFill="accent1" w:themeFillTint="66"/>
          </w:tcPr>
          <w:p w14:paraId="1FCCF623" w14:textId="41BFF574"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Area</w:t>
            </w:r>
          </w:p>
        </w:tc>
        <w:tc>
          <w:tcPr>
            <w:tcW w:w="3600" w:type="dxa"/>
            <w:shd w:val="clear" w:color="auto" w:fill="B4C6E7" w:themeFill="accent1" w:themeFillTint="66"/>
          </w:tcPr>
          <w:p w14:paraId="150B7223" w14:textId="26E57B29"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Population Density (Sq. mi.)</w:t>
            </w:r>
          </w:p>
        </w:tc>
        <w:tc>
          <w:tcPr>
            <w:tcW w:w="3325" w:type="dxa"/>
            <w:shd w:val="clear" w:color="auto" w:fill="B4C6E7" w:themeFill="accent1" w:themeFillTint="66"/>
          </w:tcPr>
          <w:p w14:paraId="73265EE3" w14:textId="6AFE005D" w:rsidR="001B5E5A" w:rsidRPr="00883612" w:rsidRDefault="001B5E5A" w:rsidP="007A2D66">
            <w:pPr>
              <w:spacing w:after="100" w:afterAutospacing="1"/>
              <w:rPr>
                <w:rFonts w:ascii="Palatino Linotype" w:hAnsi="Palatino Linotype"/>
                <w:b/>
                <w:sz w:val="22"/>
                <w:szCs w:val="22"/>
              </w:rPr>
            </w:pPr>
            <w:r w:rsidRPr="00883612">
              <w:rPr>
                <w:rFonts w:ascii="Palatino Linotype" w:hAnsi="Palatino Linotype"/>
                <w:b/>
                <w:sz w:val="22"/>
                <w:szCs w:val="22"/>
              </w:rPr>
              <w:t>Per Capita Income</w:t>
            </w:r>
          </w:p>
        </w:tc>
      </w:tr>
      <w:tr w:rsidR="001B5E5A" w14:paraId="72DB5367" w14:textId="77777777" w:rsidTr="001B5E5A">
        <w:tc>
          <w:tcPr>
            <w:tcW w:w="2065" w:type="dxa"/>
          </w:tcPr>
          <w:p w14:paraId="5079008F" w14:textId="5F9B0D5C"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Study Area</w:t>
            </w:r>
          </w:p>
        </w:tc>
        <w:tc>
          <w:tcPr>
            <w:tcW w:w="3600" w:type="dxa"/>
          </w:tcPr>
          <w:p w14:paraId="4D175799" w14:textId="49570139"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1,308</w:t>
            </w:r>
          </w:p>
        </w:tc>
        <w:tc>
          <w:tcPr>
            <w:tcW w:w="3325" w:type="dxa"/>
          </w:tcPr>
          <w:p w14:paraId="138866C5" w14:textId="0BA76F0D"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$42,721</w:t>
            </w:r>
          </w:p>
        </w:tc>
      </w:tr>
      <w:tr w:rsidR="001B5E5A" w14:paraId="4428EE90" w14:textId="77777777" w:rsidTr="001B5E5A">
        <w:tc>
          <w:tcPr>
            <w:tcW w:w="2065" w:type="dxa"/>
          </w:tcPr>
          <w:p w14:paraId="4C95B807" w14:textId="7BE675CE" w:rsidR="001B5E5A" w:rsidRDefault="001B5E5A" w:rsidP="007A2D66">
            <w:pPr>
              <w:spacing w:after="100" w:afterAutospacing="1"/>
              <w:rPr>
                <w:rFonts w:ascii="Palatino Linotype" w:hAnsi="Palatino Linotype"/>
                <w:bCs/>
                <w:sz w:val="22"/>
                <w:szCs w:val="22"/>
              </w:rPr>
            </w:pPr>
            <w:r>
              <w:rPr>
                <w:rFonts w:ascii="Palatino Linotype" w:hAnsi="Palatino Linotype"/>
                <w:bCs/>
                <w:sz w:val="22"/>
                <w:szCs w:val="22"/>
              </w:rPr>
              <w:t>Adjoining Area 1</w:t>
            </w:r>
          </w:p>
        </w:tc>
        <w:tc>
          <w:tcPr>
            <w:tcW w:w="3600" w:type="dxa"/>
          </w:tcPr>
          <w:p w14:paraId="26C1CFB1" w14:textId="5B52BADC" w:rsidR="001B5E5A"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138</w:t>
            </w:r>
          </w:p>
        </w:tc>
        <w:tc>
          <w:tcPr>
            <w:tcW w:w="3325" w:type="dxa"/>
          </w:tcPr>
          <w:p w14:paraId="74498965" w14:textId="0197B211" w:rsidR="001B5E5A"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$27,588</w:t>
            </w:r>
          </w:p>
        </w:tc>
      </w:tr>
      <w:tr w:rsidR="00883612" w14:paraId="37FBE755" w14:textId="77777777" w:rsidTr="001B5E5A">
        <w:tc>
          <w:tcPr>
            <w:tcW w:w="2065" w:type="dxa"/>
          </w:tcPr>
          <w:p w14:paraId="34CE1861" w14:textId="23998CDA"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Adjoining Area 2</w:t>
            </w:r>
          </w:p>
        </w:tc>
        <w:tc>
          <w:tcPr>
            <w:tcW w:w="3600" w:type="dxa"/>
          </w:tcPr>
          <w:p w14:paraId="618A2378" w14:textId="34D1A41B"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257</w:t>
            </w:r>
          </w:p>
        </w:tc>
        <w:tc>
          <w:tcPr>
            <w:tcW w:w="3325" w:type="dxa"/>
          </w:tcPr>
          <w:p w14:paraId="0B7F9175" w14:textId="1E2D4621"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$29,327</w:t>
            </w:r>
          </w:p>
        </w:tc>
      </w:tr>
      <w:tr w:rsidR="00883612" w14:paraId="1AAD88B1" w14:textId="77777777" w:rsidTr="001B5E5A">
        <w:tc>
          <w:tcPr>
            <w:tcW w:w="2065" w:type="dxa"/>
          </w:tcPr>
          <w:p w14:paraId="349E2731" w14:textId="2DE5374F"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Adjoining Area 3</w:t>
            </w:r>
          </w:p>
        </w:tc>
        <w:tc>
          <w:tcPr>
            <w:tcW w:w="3600" w:type="dxa"/>
          </w:tcPr>
          <w:p w14:paraId="32525EAA" w14:textId="2E639656"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1,109</w:t>
            </w:r>
          </w:p>
        </w:tc>
        <w:tc>
          <w:tcPr>
            <w:tcW w:w="3325" w:type="dxa"/>
          </w:tcPr>
          <w:p w14:paraId="1D066DC3" w14:textId="728442E0" w:rsidR="00883612" w:rsidRDefault="00883612" w:rsidP="007A2D66">
            <w:pPr>
              <w:spacing w:after="100" w:afterAutospacing="1"/>
              <w:rPr>
                <w:rFonts w:ascii="Palatino Linotype" w:hAnsi="Palatino Linotype"/>
                <w:bCs/>
                <w:sz w:val="22"/>
                <w:szCs w:val="22"/>
              </w:rPr>
            </w:pPr>
            <w:r>
              <w:rPr>
                <w:rFonts w:ascii="Palatino Linotype" w:hAnsi="Palatino Linotype"/>
                <w:bCs/>
                <w:sz w:val="22"/>
                <w:szCs w:val="22"/>
              </w:rPr>
              <w:t>$36,759</w:t>
            </w:r>
          </w:p>
        </w:tc>
      </w:tr>
    </w:tbl>
    <w:p w14:paraId="42FBBD6A" w14:textId="77777777" w:rsidR="00446AD7" w:rsidRDefault="00446AD7" w:rsidP="00446AD7">
      <w:pPr>
        <w:autoSpaceDE w:val="0"/>
        <w:autoSpaceDN w:val="0"/>
        <w:adjustRightInd w:val="0"/>
        <w:rPr>
          <w:rFonts w:ascii="Palatino Linotype" w:hAnsi="Palatino Linotype"/>
          <w:iCs/>
          <w:sz w:val="23"/>
          <w:szCs w:val="23"/>
        </w:rPr>
      </w:pPr>
    </w:p>
    <w:p w14:paraId="2E9F3628" w14:textId="77777777" w:rsidR="0019054E" w:rsidRPr="00DD1F2D" w:rsidRDefault="0019054E" w:rsidP="00446AD7">
      <w:pPr>
        <w:autoSpaceDE w:val="0"/>
        <w:autoSpaceDN w:val="0"/>
        <w:adjustRightInd w:val="0"/>
        <w:rPr>
          <w:rFonts w:ascii="Palatino Linotype" w:hAnsi="Palatino Linotype"/>
          <w:iCs/>
          <w:sz w:val="23"/>
          <w:szCs w:val="23"/>
        </w:rPr>
      </w:pPr>
    </w:p>
    <w:p w14:paraId="64A362AA" w14:textId="7CBD21CC" w:rsidR="00F1431A" w:rsidRPr="00A1022A" w:rsidRDefault="00217561" w:rsidP="00217561">
      <w:pPr>
        <w:spacing w:after="100" w:afterAutospacing="1"/>
        <w:rPr>
          <w:rFonts w:ascii="Arial" w:hAnsi="Arial" w:cs="Arial"/>
          <w:sz w:val="18"/>
          <w:szCs w:val="18"/>
        </w:rPr>
      </w:pPr>
      <w:r>
        <w:rPr>
          <w:rFonts w:ascii="Palatino Linotype" w:hAnsi="Palatino Linotype"/>
          <w:bCs/>
          <w:sz w:val="22"/>
          <w:szCs w:val="22"/>
        </w:rPr>
        <w:t xml:space="preserve">A complete guide for using the EPA </w:t>
      </w:r>
      <w:r w:rsidRPr="00380822">
        <w:rPr>
          <w:rFonts w:ascii="Palatino Linotype" w:hAnsi="Palatino Linotype"/>
          <w:bCs/>
          <w:sz w:val="22"/>
          <w:szCs w:val="22"/>
        </w:rPr>
        <w:t xml:space="preserve">EJScreen </w:t>
      </w:r>
      <w:r>
        <w:rPr>
          <w:rFonts w:ascii="Palatino Linotype" w:hAnsi="Palatino Linotype"/>
          <w:bCs/>
          <w:sz w:val="22"/>
          <w:szCs w:val="22"/>
        </w:rPr>
        <w:t xml:space="preserve">Tool </w:t>
      </w:r>
      <w:r w:rsidRPr="00380822">
        <w:rPr>
          <w:rFonts w:ascii="Palatino Linotype" w:hAnsi="Palatino Linotype"/>
          <w:bCs/>
          <w:sz w:val="22"/>
          <w:szCs w:val="22"/>
        </w:rPr>
        <w:t xml:space="preserve">can be found at: </w:t>
      </w:r>
      <w:hyperlink r:id="rId28" w:history="1">
        <w:r w:rsidRPr="00943430">
          <w:rPr>
            <w:rStyle w:val="Hyperlink"/>
          </w:rPr>
          <w:t>https://www.epa.gov/ejscreen/learn-use-ejscreen</w:t>
        </w:r>
      </w:hyperlink>
    </w:p>
    <w:sectPr w:rsidR="00F1431A" w:rsidRPr="00A1022A" w:rsidSect="00861AE2">
      <w:headerReference w:type="default" r:id="rId29"/>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5AF61A" w14:textId="77777777" w:rsidR="00BA3BC2" w:rsidRDefault="00BA3BC2">
      <w:r>
        <w:separator/>
      </w:r>
    </w:p>
  </w:endnote>
  <w:endnote w:type="continuationSeparator" w:id="0">
    <w:p w14:paraId="2497E5BF" w14:textId="77777777" w:rsidR="00BA3BC2" w:rsidRDefault="00BA3BC2">
      <w:r>
        <w:continuationSeparator/>
      </w:r>
    </w:p>
  </w:endnote>
  <w:endnote w:type="continuationNotice" w:id="1">
    <w:p w14:paraId="576E12E9" w14:textId="77777777" w:rsidR="00BA3BC2" w:rsidRDefault="00BA3B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ECOMSans-Light">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120916"/>
      <w:docPartObj>
        <w:docPartGallery w:val="Page Numbers (Bottom of Page)"/>
        <w:docPartUnique/>
      </w:docPartObj>
    </w:sdtPr>
    <w:sdtEndPr>
      <w:rPr>
        <w:noProof/>
      </w:rPr>
    </w:sdtEndPr>
    <w:sdtContent>
      <w:p w14:paraId="000A2225" w14:textId="07B9F98C" w:rsidR="00586795" w:rsidRDefault="0058679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F190E85" w14:textId="40D9D696" w:rsidR="00586795" w:rsidRDefault="0058679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C4284" w14:textId="77777777" w:rsidR="00BA3BC2" w:rsidRDefault="00BA3BC2">
      <w:r>
        <w:separator/>
      </w:r>
    </w:p>
  </w:footnote>
  <w:footnote w:type="continuationSeparator" w:id="0">
    <w:p w14:paraId="7CE04F34" w14:textId="77777777" w:rsidR="00BA3BC2" w:rsidRDefault="00BA3BC2">
      <w:r>
        <w:continuationSeparator/>
      </w:r>
    </w:p>
  </w:footnote>
  <w:footnote w:type="continuationNotice" w:id="1">
    <w:p w14:paraId="1E879806" w14:textId="77777777" w:rsidR="00BA3BC2" w:rsidRDefault="00BA3B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4434B" w14:textId="77777777" w:rsidR="00F83892" w:rsidRDefault="00F83892">
    <w:pPr>
      <w:pStyle w:val="Header"/>
      <w:tabs>
        <w:tab w:val="clear" w:pos="4320"/>
        <w:tab w:val="clear" w:pos="8640"/>
      </w:tabs>
      <w:rPr>
        <w:sz w:val="6"/>
      </w:rPr>
    </w:pPr>
  </w:p>
  <w:p w14:paraId="6C465DF9" w14:textId="77777777" w:rsidR="00F83892" w:rsidRDefault="00F83892">
    <w:pPr>
      <w:pStyle w:val="Header"/>
      <w:rPr>
        <w:sz w:val="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F2B2E"/>
    <w:multiLevelType w:val="hybridMultilevel"/>
    <w:tmpl w:val="D2468158"/>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 w15:restartNumberingAfterBreak="0">
    <w:nsid w:val="067E3B2A"/>
    <w:multiLevelType w:val="hybridMultilevel"/>
    <w:tmpl w:val="CEF400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7E28B0"/>
    <w:multiLevelType w:val="hybridMultilevel"/>
    <w:tmpl w:val="F0F69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B22CD9"/>
    <w:multiLevelType w:val="hybridMultilevel"/>
    <w:tmpl w:val="AD7AB844"/>
    <w:lvl w:ilvl="0" w:tplc="04090001">
      <w:start w:val="1"/>
      <w:numFmt w:val="bullet"/>
      <w:lvlText w:val=""/>
      <w:lvlJc w:val="left"/>
      <w:pPr>
        <w:ind w:left="720" w:hanging="360"/>
      </w:pPr>
      <w:rPr>
        <w:rFonts w:ascii="Symbol" w:hAnsi="Symbol" w:hint="default"/>
      </w:rPr>
    </w:lvl>
    <w:lvl w:ilvl="1" w:tplc="A43AE60E">
      <w:numFmt w:val="bullet"/>
      <w:lvlText w:val="•"/>
      <w:lvlJc w:val="left"/>
      <w:pPr>
        <w:ind w:left="1440" w:hanging="360"/>
      </w:pPr>
      <w:rPr>
        <w:rFonts w:ascii="AECOMSans-Light" w:eastAsia="AECOMSans-Light" w:hAnsiTheme="minorHAnsi" w:cs="AECOMSans-Light" w:hint="eastAsia"/>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75036A"/>
    <w:multiLevelType w:val="hybridMultilevel"/>
    <w:tmpl w:val="DDE2D110"/>
    <w:lvl w:ilvl="0" w:tplc="4B0C8B6A">
      <w:numFmt w:val="bullet"/>
      <w:lvlText w:val="-"/>
      <w:lvlJc w:val="left"/>
      <w:pPr>
        <w:ind w:left="2610" w:hanging="360"/>
      </w:pPr>
      <w:rPr>
        <w:rFonts w:ascii="Palatino Linotype" w:eastAsia="Times New Roman" w:hAnsi="Palatino Linotype" w:cs="Times New Roman" w:hint="default"/>
      </w:rPr>
    </w:lvl>
    <w:lvl w:ilvl="1" w:tplc="04090003" w:tentative="1">
      <w:start w:val="1"/>
      <w:numFmt w:val="bullet"/>
      <w:lvlText w:val="o"/>
      <w:lvlJc w:val="left"/>
      <w:pPr>
        <w:ind w:left="3330" w:hanging="360"/>
      </w:pPr>
      <w:rPr>
        <w:rFonts w:ascii="Courier New" w:hAnsi="Courier New" w:cs="Courier New" w:hint="default"/>
      </w:rPr>
    </w:lvl>
    <w:lvl w:ilvl="2" w:tplc="04090005" w:tentative="1">
      <w:start w:val="1"/>
      <w:numFmt w:val="bullet"/>
      <w:lvlText w:val=""/>
      <w:lvlJc w:val="left"/>
      <w:pPr>
        <w:ind w:left="4050" w:hanging="360"/>
      </w:pPr>
      <w:rPr>
        <w:rFonts w:ascii="Wingdings" w:hAnsi="Wingding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5" w15:restartNumberingAfterBreak="0">
    <w:nsid w:val="0F433BA9"/>
    <w:multiLevelType w:val="hybridMultilevel"/>
    <w:tmpl w:val="FFE48456"/>
    <w:lvl w:ilvl="0" w:tplc="7F28A1EE">
      <w:start w:val="1"/>
      <w:numFmt w:val="bullet"/>
      <w:lvlText w:val=""/>
      <w:lvlJc w:val="left"/>
      <w:pPr>
        <w:ind w:left="1080" w:hanging="360"/>
      </w:pPr>
      <w:rPr>
        <w:rFonts w:ascii="Wingdings" w:eastAsia="Wingdings" w:hAnsi="Wingdings" w:hint="default"/>
        <w:sz w:val="24"/>
        <w:szCs w:val="24"/>
      </w:rPr>
    </w:lvl>
    <w:lvl w:ilvl="1" w:tplc="B524D340">
      <w:start w:val="1"/>
      <w:numFmt w:val="bullet"/>
      <w:lvlText w:val="•"/>
      <w:lvlJc w:val="left"/>
      <w:pPr>
        <w:ind w:left="1998" w:hanging="360"/>
      </w:pPr>
      <w:rPr>
        <w:rFonts w:hint="default"/>
      </w:rPr>
    </w:lvl>
    <w:lvl w:ilvl="2" w:tplc="FCA61790">
      <w:start w:val="1"/>
      <w:numFmt w:val="bullet"/>
      <w:lvlText w:val="•"/>
      <w:lvlJc w:val="left"/>
      <w:pPr>
        <w:ind w:left="2917" w:hanging="360"/>
      </w:pPr>
      <w:rPr>
        <w:rFonts w:hint="default"/>
      </w:rPr>
    </w:lvl>
    <w:lvl w:ilvl="3" w:tplc="3998EC84">
      <w:start w:val="1"/>
      <w:numFmt w:val="bullet"/>
      <w:lvlText w:val="•"/>
      <w:lvlJc w:val="left"/>
      <w:pPr>
        <w:ind w:left="3835" w:hanging="360"/>
      </w:pPr>
      <w:rPr>
        <w:rFonts w:hint="default"/>
      </w:rPr>
    </w:lvl>
    <w:lvl w:ilvl="4" w:tplc="318E9FE0">
      <w:start w:val="1"/>
      <w:numFmt w:val="bullet"/>
      <w:lvlText w:val="•"/>
      <w:lvlJc w:val="left"/>
      <w:pPr>
        <w:ind w:left="4754" w:hanging="360"/>
      </w:pPr>
      <w:rPr>
        <w:rFonts w:hint="default"/>
      </w:rPr>
    </w:lvl>
    <w:lvl w:ilvl="5" w:tplc="E0941DDA">
      <w:start w:val="1"/>
      <w:numFmt w:val="bullet"/>
      <w:lvlText w:val="•"/>
      <w:lvlJc w:val="left"/>
      <w:pPr>
        <w:ind w:left="5672" w:hanging="360"/>
      </w:pPr>
      <w:rPr>
        <w:rFonts w:hint="default"/>
      </w:rPr>
    </w:lvl>
    <w:lvl w:ilvl="6" w:tplc="A54E12A2">
      <w:start w:val="1"/>
      <w:numFmt w:val="bullet"/>
      <w:lvlText w:val="•"/>
      <w:lvlJc w:val="left"/>
      <w:pPr>
        <w:ind w:left="6591" w:hanging="360"/>
      </w:pPr>
      <w:rPr>
        <w:rFonts w:hint="default"/>
      </w:rPr>
    </w:lvl>
    <w:lvl w:ilvl="7" w:tplc="47481228">
      <w:start w:val="1"/>
      <w:numFmt w:val="bullet"/>
      <w:lvlText w:val="•"/>
      <w:lvlJc w:val="left"/>
      <w:pPr>
        <w:ind w:left="7509" w:hanging="360"/>
      </w:pPr>
      <w:rPr>
        <w:rFonts w:hint="default"/>
      </w:rPr>
    </w:lvl>
    <w:lvl w:ilvl="8" w:tplc="05669BFA">
      <w:start w:val="1"/>
      <w:numFmt w:val="bullet"/>
      <w:lvlText w:val="•"/>
      <w:lvlJc w:val="left"/>
      <w:pPr>
        <w:ind w:left="8428" w:hanging="360"/>
      </w:pPr>
      <w:rPr>
        <w:rFonts w:hint="default"/>
      </w:rPr>
    </w:lvl>
  </w:abstractNum>
  <w:abstractNum w:abstractNumId="6" w15:restartNumberingAfterBreak="0">
    <w:nsid w:val="116B65DB"/>
    <w:multiLevelType w:val="hybridMultilevel"/>
    <w:tmpl w:val="B3868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836DC2"/>
    <w:multiLevelType w:val="hybridMultilevel"/>
    <w:tmpl w:val="F2A689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EB6616"/>
    <w:multiLevelType w:val="hybridMultilevel"/>
    <w:tmpl w:val="DB946FF2"/>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21136B"/>
    <w:multiLevelType w:val="hybridMultilevel"/>
    <w:tmpl w:val="E71EFD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8B5651"/>
    <w:multiLevelType w:val="hybridMultilevel"/>
    <w:tmpl w:val="415E1DCC"/>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15:restartNumberingAfterBreak="0">
    <w:nsid w:val="18BA49E8"/>
    <w:multiLevelType w:val="hybridMultilevel"/>
    <w:tmpl w:val="18281FC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195215C5"/>
    <w:multiLevelType w:val="hybridMultilevel"/>
    <w:tmpl w:val="D2468158"/>
    <w:lvl w:ilvl="0" w:tplc="04090019">
      <w:start w:val="1"/>
      <w:numFmt w:val="lowerLetter"/>
      <w:lvlText w:val="%1."/>
      <w:lvlJc w:val="left"/>
      <w:pPr>
        <w:ind w:left="990" w:hanging="360"/>
      </w:pPr>
    </w:lvl>
    <w:lvl w:ilvl="1" w:tplc="04090019">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3" w15:restartNumberingAfterBreak="0">
    <w:nsid w:val="24367331"/>
    <w:multiLevelType w:val="hybridMultilevel"/>
    <w:tmpl w:val="B6FA3346"/>
    <w:lvl w:ilvl="0" w:tplc="04090001">
      <w:start w:val="1"/>
      <w:numFmt w:val="bullet"/>
      <w:lvlText w:val=""/>
      <w:lvlJc w:val="left"/>
      <w:pPr>
        <w:ind w:left="2250" w:hanging="360"/>
      </w:pPr>
      <w:rPr>
        <w:rFonts w:ascii="Symbol" w:hAnsi="Symbol"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14" w15:restartNumberingAfterBreak="0">
    <w:nsid w:val="247551AC"/>
    <w:multiLevelType w:val="hybridMultilevel"/>
    <w:tmpl w:val="EDB601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EB2E29"/>
    <w:multiLevelType w:val="hybridMultilevel"/>
    <w:tmpl w:val="50149D1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30F90943"/>
    <w:multiLevelType w:val="hybridMultilevel"/>
    <w:tmpl w:val="77DCB44A"/>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142E22"/>
    <w:multiLevelType w:val="hybridMultilevel"/>
    <w:tmpl w:val="094A9FC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3EE40F0"/>
    <w:multiLevelType w:val="hybridMultilevel"/>
    <w:tmpl w:val="0C521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327008"/>
    <w:multiLevelType w:val="hybridMultilevel"/>
    <w:tmpl w:val="63982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1">
    <w:nsid w:val="52CA5705"/>
    <w:multiLevelType w:val="multilevel"/>
    <w:tmpl w:val="E5AC930C"/>
    <w:lvl w:ilvl="0">
      <w:start w:val="1"/>
      <w:numFmt w:val="decimal"/>
      <w:lvlText w:val="%1."/>
      <w:lvlJc w:val="left"/>
      <w:pPr>
        <w:tabs>
          <w:tab w:val="num" w:pos="630"/>
        </w:tabs>
        <w:ind w:left="630" w:hanging="360"/>
      </w:pPr>
      <w:rPr>
        <w:rFonts w:cs="Times New Roman"/>
      </w:rPr>
    </w:lvl>
    <w:lvl w:ilvl="1">
      <w:start w:val="1"/>
      <w:numFmt w:val="lowerLetter"/>
      <w:pStyle w:val="Outlinea"/>
      <w:lvlText w:val="%2."/>
      <w:lvlJc w:val="left"/>
      <w:pPr>
        <w:tabs>
          <w:tab w:val="num" w:pos="5400"/>
        </w:tabs>
        <w:ind w:left="5400" w:hanging="360"/>
      </w:pPr>
      <w:rPr>
        <w:rFonts w:cs="Times New Roman"/>
      </w:rPr>
    </w:lvl>
    <w:lvl w:ilvl="2">
      <w:start w:val="1"/>
      <w:numFmt w:val="decimal"/>
      <w:pStyle w:val="Outlinea"/>
      <w:lvlText w:val="(%3)"/>
      <w:lvlJc w:val="left"/>
      <w:pPr>
        <w:tabs>
          <w:tab w:val="num" w:pos="1152"/>
        </w:tabs>
        <w:ind w:left="1152" w:hanging="432"/>
      </w:pPr>
      <w:rPr>
        <w:rFonts w:cs="Times New Roman"/>
      </w:rPr>
    </w:lvl>
    <w:lvl w:ilvl="3">
      <w:start w:val="1"/>
      <w:numFmt w:val="lowerLetter"/>
      <w:lvlText w:val="(%4)"/>
      <w:lvlJc w:val="left"/>
      <w:pPr>
        <w:tabs>
          <w:tab w:val="num" w:pos="1584"/>
        </w:tabs>
        <w:ind w:left="1584" w:hanging="432"/>
      </w:pPr>
      <w:rPr>
        <w:rFonts w:cs="Times New Roman"/>
      </w:rPr>
    </w:lvl>
    <w:lvl w:ilvl="4">
      <w:start w:val="1"/>
      <w:numFmt w:val="decimal"/>
      <w:pStyle w:val="Outlinelevel5"/>
      <w:lvlText w:val="%5"/>
      <w:lvlJc w:val="left"/>
      <w:pPr>
        <w:tabs>
          <w:tab w:val="num" w:pos="1944"/>
        </w:tabs>
        <w:ind w:left="1944" w:hanging="360"/>
      </w:pPr>
      <w:rPr>
        <w:rFonts w:cs="Times New Roman"/>
        <w:u w:val="words"/>
      </w:rPr>
    </w:lvl>
    <w:lvl w:ilvl="5">
      <w:start w:val="1"/>
      <w:numFmt w:val="lowerLetter"/>
      <w:pStyle w:val="Outline1"/>
      <w:lvlText w:val="%6"/>
      <w:lvlJc w:val="left"/>
      <w:pPr>
        <w:tabs>
          <w:tab w:val="num" w:pos="2304"/>
        </w:tabs>
        <w:ind w:left="2304" w:hanging="360"/>
      </w:pPr>
      <w:rPr>
        <w:rFonts w:cs="Times New Roman"/>
        <w:u w:val="words"/>
      </w:rPr>
    </w:lvl>
    <w:lvl w:ilvl="6">
      <w:start w:val="1"/>
      <w:numFmt w:val="decimal"/>
      <w:lvlText w:val="%7."/>
      <w:lvlJc w:val="left"/>
      <w:pPr>
        <w:tabs>
          <w:tab w:val="num" w:pos="2664"/>
        </w:tabs>
        <w:ind w:left="2664" w:hanging="360"/>
      </w:pPr>
      <w:rPr>
        <w:rFonts w:cs="Times New Roman"/>
      </w:rPr>
    </w:lvl>
    <w:lvl w:ilvl="7">
      <w:start w:val="1"/>
      <w:numFmt w:val="lowerLetter"/>
      <w:lvlText w:val="%8."/>
      <w:lvlJc w:val="left"/>
      <w:pPr>
        <w:tabs>
          <w:tab w:val="num" w:pos="3024"/>
        </w:tabs>
        <w:ind w:left="3024" w:hanging="360"/>
      </w:pPr>
      <w:rPr>
        <w:rFonts w:cs="Times New Roman"/>
      </w:rPr>
    </w:lvl>
    <w:lvl w:ilvl="8">
      <w:start w:val="1"/>
      <w:numFmt w:val="decimal"/>
      <w:lvlText w:val="%9."/>
      <w:lvlJc w:val="left"/>
      <w:pPr>
        <w:tabs>
          <w:tab w:val="num" w:pos="3384"/>
        </w:tabs>
        <w:ind w:left="3384" w:hanging="360"/>
      </w:pPr>
      <w:rPr>
        <w:rFonts w:cs="Times New Roman"/>
      </w:rPr>
    </w:lvl>
  </w:abstractNum>
  <w:abstractNum w:abstractNumId="21" w15:restartNumberingAfterBreak="1">
    <w:nsid w:val="54575EE9"/>
    <w:multiLevelType w:val="hybridMultilevel"/>
    <w:tmpl w:val="B606A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8A7588"/>
    <w:multiLevelType w:val="hybridMultilevel"/>
    <w:tmpl w:val="68CCD72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B644730"/>
    <w:multiLevelType w:val="hybridMultilevel"/>
    <w:tmpl w:val="A2B8F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350496"/>
    <w:multiLevelType w:val="hybridMultilevel"/>
    <w:tmpl w:val="A7341560"/>
    <w:lvl w:ilvl="0" w:tplc="95BEFFC4">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3A6CB1"/>
    <w:multiLevelType w:val="hybridMultilevel"/>
    <w:tmpl w:val="5EBA73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E321F0"/>
    <w:multiLevelType w:val="hybridMultilevel"/>
    <w:tmpl w:val="33B4D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6526B6"/>
    <w:multiLevelType w:val="hybridMultilevel"/>
    <w:tmpl w:val="D36C964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630A3FF3"/>
    <w:multiLevelType w:val="hybridMultilevel"/>
    <w:tmpl w:val="17B01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492135"/>
    <w:multiLevelType w:val="hybridMultilevel"/>
    <w:tmpl w:val="5A280EB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37A1D3F"/>
    <w:multiLevelType w:val="hybridMultilevel"/>
    <w:tmpl w:val="038EA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04DAA"/>
    <w:multiLevelType w:val="hybridMultilevel"/>
    <w:tmpl w:val="4EE61B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507FA8"/>
    <w:multiLevelType w:val="hybridMultilevel"/>
    <w:tmpl w:val="3E2C78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D371D09"/>
    <w:multiLevelType w:val="hybridMultilevel"/>
    <w:tmpl w:val="A84AAC88"/>
    <w:lvl w:ilvl="0" w:tplc="A5648F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2F12AC"/>
    <w:multiLevelType w:val="hybridMultilevel"/>
    <w:tmpl w:val="F58241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782F1E"/>
    <w:multiLevelType w:val="hybridMultilevel"/>
    <w:tmpl w:val="AA143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EC60AC"/>
    <w:multiLevelType w:val="hybridMultilevel"/>
    <w:tmpl w:val="BEDC8F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86197208">
    <w:abstractNumId w:val="20"/>
  </w:num>
  <w:num w:numId="2" w16cid:durableId="1148940499">
    <w:abstractNumId w:val="21"/>
  </w:num>
  <w:num w:numId="3" w16cid:durableId="446698909">
    <w:abstractNumId w:val="25"/>
  </w:num>
  <w:num w:numId="4" w16cid:durableId="1514950655">
    <w:abstractNumId w:val="31"/>
  </w:num>
  <w:num w:numId="5" w16cid:durableId="590696129">
    <w:abstractNumId w:val="19"/>
  </w:num>
  <w:num w:numId="6" w16cid:durableId="478108288">
    <w:abstractNumId w:val="24"/>
  </w:num>
  <w:num w:numId="7" w16cid:durableId="1332489014">
    <w:abstractNumId w:val="30"/>
  </w:num>
  <w:num w:numId="8" w16cid:durableId="592200244">
    <w:abstractNumId w:val="9"/>
  </w:num>
  <w:num w:numId="9" w16cid:durableId="1375881930">
    <w:abstractNumId w:val="8"/>
  </w:num>
  <w:num w:numId="10" w16cid:durableId="1630814281">
    <w:abstractNumId w:val="16"/>
  </w:num>
  <w:num w:numId="11" w16cid:durableId="1939026135">
    <w:abstractNumId w:val="29"/>
  </w:num>
  <w:num w:numId="12" w16cid:durableId="226457022">
    <w:abstractNumId w:val="12"/>
  </w:num>
  <w:num w:numId="13" w16cid:durableId="2090037873">
    <w:abstractNumId w:val="5"/>
  </w:num>
  <w:num w:numId="14" w16cid:durableId="786047761">
    <w:abstractNumId w:val="0"/>
  </w:num>
  <w:num w:numId="15" w16cid:durableId="2003467928">
    <w:abstractNumId w:val="34"/>
  </w:num>
  <w:num w:numId="16" w16cid:durableId="257064454">
    <w:abstractNumId w:val="6"/>
  </w:num>
  <w:num w:numId="17" w16cid:durableId="2056923407">
    <w:abstractNumId w:val="28"/>
  </w:num>
  <w:num w:numId="18" w16cid:durableId="483013264">
    <w:abstractNumId w:val="3"/>
  </w:num>
  <w:num w:numId="19" w16cid:durableId="1986885354">
    <w:abstractNumId w:val="18"/>
  </w:num>
  <w:num w:numId="20" w16cid:durableId="796068610">
    <w:abstractNumId w:val="35"/>
  </w:num>
  <w:num w:numId="21" w16cid:durableId="458644311">
    <w:abstractNumId w:val="33"/>
  </w:num>
  <w:num w:numId="22" w16cid:durableId="2063022767">
    <w:abstractNumId w:val="10"/>
  </w:num>
  <w:num w:numId="23" w16cid:durableId="1417481175">
    <w:abstractNumId w:val="23"/>
  </w:num>
  <w:num w:numId="24" w16cid:durableId="101002115">
    <w:abstractNumId w:val="32"/>
  </w:num>
  <w:num w:numId="25" w16cid:durableId="665396682">
    <w:abstractNumId w:val="26"/>
  </w:num>
  <w:num w:numId="26" w16cid:durableId="227226333">
    <w:abstractNumId w:val="11"/>
  </w:num>
  <w:num w:numId="27" w16cid:durableId="1081022534">
    <w:abstractNumId w:val="14"/>
  </w:num>
  <w:num w:numId="28" w16cid:durableId="898592774">
    <w:abstractNumId w:val="36"/>
  </w:num>
  <w:num w:numId="29" w16cid:durableId="8332713">
    <w:abstractNumId w:val="1"/>
  </w:num>
  <w:num w:numId="30" w16cid:durableId="2022000425">
    <w:abstractNumId w:val="17"/>
  </w:num>
  <w:num w:numId="31" w16cid:durableId="2020232634">
    <w:abstractNumId w:val="15"/>
  </w:num>
  <w:num w:numId="32" w16cid:durableId="1391149584">
    <w:abstractNumId w:val="27"/>
  </w:num>
  <w:num w:numId="33" w16cid:durableId="1518499584">
    <w:abstractNumId w:val="13"/>
  </w:num>
  <w:num w:numId="34" w16cid:durableId="552027">
    <w:abstractNumId w:val="4"/>
  </w:num>
  <w:num w:numId="35" w16cid:durableId="754286500">
    <w:abstractNumId w:val="7"/>
  </w:num>
  <w:num w:numId="36" w16cid:durableId="1983582924">
    <w:abstractNumId w:val="22"/>
  </w:num>
  <w:num w:numId="37" w16cid:durableId="3764692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561"/>
    <w:rsid w:val="00001DEE"/>
    <w:rsid w:val="000026EA"/>
    <w:rsid w:val="00006F09"/>
    <w:rsid w:val="00011A1A"/>
    <w:rsid w:val="00021606"/>
    <w:rsid w:val="00022C0A"/>
    <w:rsid w:val="0003612D"/>
    <w:rsid w:val="000368F4"/>
    <w:rsid w:val="00037949"/>
    <w:rsid w:val="00037D65"/>
    <w:rsid w:val="00043A50"/>
    <w:rsid w:val="00045C7D"/>
    <w:rsid w:val="00051745"/>
    <w:rsid w:val="00053F62"/>
    <w:rsid w:val="0005443D"/>
    <w:rsid w:val="000607EB"/>
    <w:rsid w:val="00067674"/>
    <w:rsid w:val="0007104D"/>
    <w:rsid w:val="0007653E"/>
    <w:rsid w:val="00077C0D"/>
    <w:rsid w:val="000823DF"/>
    <w:rsid w:val="00092B1E"/>
    <w:rsid w:val="000B0618"/>
    <w:rsid w:val="000B205D"/>
    <w:rsid w:val="000B23B1"/>
    <w:rsid w:val="000B3016"/>
    <w:rsid w:val="000B3D09"/>
    <w:rsid w:val="000C18F9"/>
    <w:rsid w:val="000C276A"/>
    <w:rsid w:val="000D28DD"/>
    <w:rsid w:val="000D5497"/>
    <w:rsid w:val="000D6450"/>
    <w:rsid w:val="000D790D"/>
    <w:rsid w:val="000E3B20"/>
    <w:rsid w:val="000E4088"/>
    <w:rsid w:val="000F175C"/>
    <w:rsid w:val="000F2BA7"/>
    <w:rsid w:val="000F2C00"/>
    <w:rsid w:val="000F57C8"/>
    <w:rsid w:val="000F7573"/>
    <w:rsid w:val="001004BF"/>
    <w:rsid w:val="001007F7"/>
    <w:rsid w:val="00107240"/>
    <w:rsid w:val="0011253C"/>
    <w:rsid w:val="00112EAB"/>
    <w:rsid w:val="001249CD"/>
    <w:rsid w:val="00136601"/>
    <w:rsid w:val="001369CD"/>
    <w:rsid w:val="00142EBC"/>
    <w:rsid w:val="00150BFB"/>
    <w:rsid w:val="00164273"/>
    <w:rsid w:val="00167CBC"/>
    <w:rsid w:val="00170A46"/>
    <w:rsid w:val="00171CF4"/>
    <w:rsid w:val="001812C9"/>
    <w:rsid w:val="001841BD"/>
    <w:rsid w:val="00185998"/>
    <w:rsid w:val="001859CD"/>
    <w:rsid w:val="00187BF6"/>
    <w:rsid w:val="0019054E"/>
    <w:rsid w:val="00195E8E"/>
    <w:rsid w:val="001A5D00"/>
    <w:rsid w:val="001A6FCE"/>
    <w:rsid w:val="001B054B"/>
    <w:rsid w:val="001B08E4"/>
    <w:rsid w:val="001B2052"/>
    <w:rsid w:val="001B2B86"/>
    <w:rsid w:val="001B5E5A"/>
    <w:rsid w:val="001B79B0"/>
    <w:rsid w:val="001C4561"/>
    <w:rsid w:val="001D0E1E"/>
    <w:rsid w:val="001D40EA"/>
    <w:rsid w:val="001D5BB8"/>
    <w:rsid w:val="001E612E"/>
    <w:rsid w:val="001E72B7"/>
    <w:rsid w:val="001E732E"/>
    <w:rsid w:val="001F1681"/>
    <w:rsid w:val="00213618"/>
    <w:rsid w:val="00214E3E"/>
    <w:rsid w:val="00217561"/>
    <w:rsid w:val="002204F3"/>
    <w:rsid w:val="00230053"/>
    <w:rsid w:val="00231649"/>
    <w:rsid w:val="0023166A"/>
    <w:rsid w:val="00233881"/>
    <w:rsid w:val="0024228C"/>
    <w:rsid w:val="00244A56"/>
    <w:rsid w:val="00246144"/>
    <w:rsid w:val="0025216F"/>
    <w:rsid w:val="00256355"/>
    <w:rsid w:val="002620E1"/>
    <w:rsid w:val="00262CB0"/>
    <w:rsid w:val="00264C01"/>
    <w:rsid w:val="002700D9"/>
    <w:rsid w:val="002751D1"/>
    <w:rsid w:val="00281349"/>
    <w:rsid w:val="002817CB"/>
    <w:rsid w:val="00282F19"/>
    <w:rsid w:val="00283DF9"/>
    <w:rsid w:val="002909A3"/>
    <w:rsid w:val="00292509"/>
    <w:rsid w:val="00296BE0"/>
    <w:rsid w:val="002A1F72"/>
    <w:rsid w:val="002A7CB3"/>
    <w:rsid w:val="002B29ED"/>
    <w:rsid w:val="002C2BA7"/>
    <w:rsid w:val="002C7644"/>
    <w:rsid w:val="002D4D83"/>
    <w:rsid w:val="002D4DF4"/>
    <w:rsid w:val="002E36D9"/>
    <w:rsid w:val="002E42F5"/>
    <w:rsid w:val="002F2878"/>
    <w:rsid w:val="002F501B"/>
    <w:rsid w:val="002F571B"/>
    <w:rsid w:val="002F7D0A"/>
    <w:rsid w:val="003036AD"/>
    <w:rsid w:val="00314731"/>
    <w:rsid w:val="00320588"/>
    <w:rsid w:val="003277D7"/>
    <w:rsid w:val="00327C64"/>
    <w:rsid w:val="003356F7"/>
    <w:rsid w:val="00335D4A"/>
    <w:rsid w:val="00345FD2"/>
    <w:rsid w:val="003468C6"/>
    <w:rsid w:val="00346FE2"/>
    <w:rsid w:val="00355968"/>
    <w:rsid w:val="00360EE1"/>
    <w:rsid w:val="00363DEB"/>
    <w:rsid w:val="0036770E"/>
    <w:rsid w:val="00370B54"/>
    <w:rsid w:val="0037465D"/>
    <w:rsid w:val="00380822"/>
    <w:rsid w:val="00385939"/>
    <w:rsid w:val="0039204D"/>
    <w:rsid w:val="003925C3"/>
    <w:rsid w:val="00392DA8"/>
    <w:rsid w:val="00392EF2"/>
    <w:rsid w:val="003A10B5"/>
    <w:rsid w:val="003A785C"/>
    <w:rsid w:val="003B6100"/>
    <w:rsid w:val="003B70D2"/>
    <w:rsid w:val="003C0E50"/>
    <w:rsid w:val="003C6CDA"/>
    <w:rsid w:val="003D3B61"/>
    <w:rsid w:val="003D495E"/>
    <w:rsid w:val="003F0BAD"/>
    <w:rsid w:val="003F6E22"/>
    <w:rsid w:val="00400767"/>
    <w:rsid w:val="00400F18"/>
    <w:rsid w:val="004149A9"/>
    <w:rsid w:val="00414F74"/>
    <w:rsid w:val="0041724F"/>
    <w:rsid w:val="004310B0"/>
    <w:rsid w:val="00435B90"/>
    <w:rsid w:val="0044552B"/>
    <w:rsid w:val="00446AD7"/>
    <w:rsid w:val="00451566"/>
    <w:rsid w:val="0045540F"/>
    <w:rsid w:val="00455DDE"/>
    <w:rsid w:val="00461033"/>
    <w:rsid w:val="00465933"/>
    <w:rsid w:val="00467278"/>
    <w:rsid w:val="004701E1"/>
    <w:rsid w:val="0047266C"/>
    <w:rsid w:val="0047723C"/>
    <w:rsid w:val="00477C12"/>
    <w:rsid w:val="004827DA"/>
    <w:rsid w:val="00490BE1"/>
    <w:rsid w:val="004925C3"/>
    <w:rsid w:val="004A0EE9"/>
    <w:rsid w:val="004B11B2"/>
    <w:rsid w:val="004B17A2"/>
    <w:rsid w:val="004B6CF4"/>
    <w:rsid w:val="004C743C"/>
    <w:rsid w:val="004D23CE"/>
    <w:rsid w:val="004D587D"/>
    <w:rsid w:val="004E136F"/>
    <w:rsid w:val="004E60FB"/>
    <w:rsid w:val="004F1B55"/>
    <w:rsid w:val="004F5141"/>
    <w:rsid w:val="004F6CC8"/>
    <w:rsid w:val="00502D1D"/>
    <w:rsid w:val="00504F3E"/>
    <w:rsid w:val="00513A4B"/>
    <w:rsid w:val="00513D4B"/>
    <w:rsid w:val="0051430A"/>
    <w:rsid w:val="00520F17"/>
    <w:rsid w:val="00521B9E"/>
    <w:rsid w:val="005234F3"/>
    <w:rsid w:val="0052722A"/>
    <w:rsid w:val="0053001B"/>
    <w:rsid w:val="00532944"/>
    <w:rsid w:val="005426B1"/>
    <w:rsid w:val="00546327"/>
    <w:rsid w:val="00553890"/>
    <w:rsid w:val="0055709E"/>
    <w:rsid w:val="00561ECD"/>
    <w:rsid w:val="0056403E"/>
    <w:rsid w:val="00571F74"/>
    <w:rsid w:val="005726B4"/>
    <w:rsid w:val="00576749"/>
    <w:rsid w:val="00586795"/>
    <w:rsid w:val="00587E67"/>
    <w:rsid w:val="00592D6D"/>
    <w:rsid w:val="00593F81"/>
    <w:rsid w:val="0059464B"/>
    <w:rsid w:val="00597EBC"/>
    <w:rsid w:val="005A226E"/>
    <w:rsid w:val="005A2A2F"/>
    <w:rsid w:val="005A4492"/>
    <w:rsid w:val="005B124B"/>
    <w:rsid w:val="005B2B23"/>
    <w:rsid w:val="005B3FDD"/>
    <w:rsid w:val="005B5B65"/>
    <w:rsid w:val="005D054B"/>
    <w:rsid w:val="005D1435"/>
    <w:rsid w:val="005D5A95"/>
    <w:rsid w:val="005E41FA"/>
    <w:rsid w:val="005E4D23"/>
    <w:rsid w:val="005E54BC"/>
    <w:rsid w:val="005E5CC7"/>
    <w:rsid w:val="005F1B98"/>
    <w:rsid w:val="00600227"/>
    <w:rsid w:val="00602473"/>
    <w:rsid w:val="00604122"/>
    <w:rsid w:val="00604F60"/>
    <w:rsid w:val="006065BA"/>
    <w:rsid w:val="00611085"/>
    <w:rsid w:val="00613E7E"/>
    <w:rsid w:val="00614A8B"/>
    <w:rsid w:val="0061679C"/>
    <w:rsid w:val="00616EE1"/>
    <w:rsid w:val="006179BA"/>
    <w:rsid w:val="00622A85"/>
    <w:rsid w:val="0062473B"/>
    <w:rsid w:val="00627F29"/>
    <w:rsid w:val="00632972"/>
    <w:rsid w:val="00637C9A"/>
    <w:rsid w:val="00647416"/>
    <w:rsid w:val="00657F1D"/>
    <w:rsid w:val="0067192C"/>
    <w:rsid w:val="00675672"/>
    <w:rsid w:val="00690660"/>
    <w:rsid w:val="00690BAF"/>
    <w:rsid w:val="00691300"/>
    <w:rsid w:val="00694309"/>
    <w:rsid w:val="006958DF"/>
    <w:rsid w:val="006A27FB"/>
    <w:rsid w:val="006A6C76"/>
    <w:rsid w:val="006B0D09"/>
    <w:rsid w:val="006D2014"/>
    <w:rsid w:val="006D37D4"/>
    <w:rsid w:val="006D593E"/>
    <w:rsid w:val="006F17A9"/>
    <w:rsid w:val="006F650A"/>
    <w:rsid w:val="006F675F"/>
    <w:rsid w:val="00700430"/>
    <w:rsid w:val="0070209B"/>
    <w:rsid w:val="0070289F"/>
    <w:rsid w:val="007029AF"/>
    <w:rsid w:val="00706EA3"/>
    <w:rsid w:val="007116F7"/>
    <w:rsid w:val="007168A8"/>
    <w:rsid w:val="0072692B"/>
    <w:rsid w:val="0073184E"/>
    <w:rsid w:val="00737728"/>
    <w:rsid w:val="00740AE9"/>
    <w:rsid w:val="00747747"/>
    <w:rsid w:val="00751F82"/>
    <w:rsid w:val="0075641B"/>
    <w:rsid w:val="00765136"/>
    <w:rsid w:val="0077418E"/>
    <w:rsid w:val="007758F1"/>
    <w:rsid w:val="007760B4"/>
    <w:rsid w:val="007768BB"/>
    <w:rsid w:val="007801EE"/>
    <w:rsid w:val="0078046C"/>
    <w:rsid w:val="0078204B"/>
    <w:rsid w:val="00782184"/>
    <w:rsid w:val="007878FF"/>
    <w:rsid w:val="00792503"/>
    <w:rsid w:val="0079781A"/>
    <w:rsid w:val="00797A49"/>
    <w:rsid w:val="007A10BE"/>
    <w:rsid w:val="007A2D66"/>
    <w:rsid w:val="007C2454"/>
    <w:rsid w:val="007C5ECB"/>
    <w:rsid w:val="007C6588"/>
    <w:rsid w:val="007D353D"/>
    <w:rsid w:val="007D4655"/>
    <w:rsid w:val="007D4BCE"/>
    <w:rsid w:val="007D6932"/>
    <w:rsid w:val="007E29AA"/>
    <w:rsid w:val="007F0A6B"/>
    <w:rsid w:val="007F1A99"/>
    <w:rsid w:val="007F22C7"/>
    <w:rsid w:val="007F2609"/>
    <w:rsid w:val="007F5EB3"/>
    <w:rsid w:val="00805CD9"/>
    <w:rsid w:val="00807454"/>
    <w:rsid w:val="00811B63"/>
    <w:rsid w:val="008176F0"/>
    <w:rsid w:val="00820437"/>
    <w:rsid w:val="00832243"/>
    <w:rsid w:val="00833BAB"/>
    <w:rsid w:val="008345EC"/>
    <w:rsid w:val="00841A8D"/>
    <w:rsid w:val="008457E9"/>
    <w:rsid w:val="00851873"/>
    <w:rsid w:val="0085637A"/>
    <w:rsid w:val="00861AE2"/>
    <w:rsid w:val="00861F22"/>
    <w:rsid w:val="00873DA7"/>
    <w:rsid w:val="008803D1"/>
    <w:rsid w:val="0088091F"/>
    <w:rsid w:val="00883612"/>
    <w:rsid w:val="00896141"/>
    <w:rsid w:val="00896A2D"/>
    <w:rsid w:val="008A1004"/>
    <w:rsid w:val="008C3652"/>
    <w:rsid w:val="008C758E"/>
    <w:rsid w:val="008D0916"/>
    <w:rsid w:val="008D0DB0"/>
    <w:rsid w:val="008D25E1"/>
    <w:rsid w:val="008D5DF5"/>
    <w:rsid w:val="008E0BF6"/>
    <w:rsid w:val="008E0FC1"/>
    <w:rsid w:val="008E7AB4"/>
    <w:rsid w:val="008F006F"/>
    <w:rsid w:val="008F2CC4"/>
    <w:rsid w:val="008F7C73"/>
    <w:rsid w:val="009034F0"/>
    <w:rsid w:val="00905654"/>
    <w:rsid w:val="00911088"/>
    <w:rsid w:val="00925C84"/>
    <w:rsid w:val="00926A7B"/>
    <w:rsid w:val="009271AA"/>
    <w:rsid w:val="00930A2E"/>
    <w:rsid w:val="00930E4A"/>
    <w:rsid w:val="009376C6"/>
    <w:rsid w:val="0094410D"/>
    <w:rsid w:val="00954386"/>
    <w:rsid w:val="00954823"/>
    <w:rsid w:val="009672F0"/>
    <w:rsid w:val="00974977"/>
    <w:rsid w:val="009855B4"/>
    <w:rsid w:val="0099655C"/>
    <w:rsid w:val="00997164"/>
    <w:rsid w:val="009A4CB8"/>
    <w:rsid w:val="009A7688"/>
    <w:rsid w:val="009C1321"/>
    <w:rsid w:val="009C1EA5"/>
    <w:rsid w:val="009D01E0"/>
    <w:rsid w:val="009D035A"/>
    <w:rsid w:val="009E0855"/>
    <w:rsid w:val="009E5F80"/>
    <w:rsid w:val="009F036E"/>
    <w:rsid w:val="009F426C"/>
    <w:rsid w:val="009F4FFC"/>
    <w:rsid w:val="009F5BDA"/>
    <w:rsid w:val="00A00EAA"/>
    <w:rsid w:val="00A02584"/>
    <w:rsid w:val="00A0298F"/>
    <w:rsid w:val="00A07D57"/>
    <w:rsid w:val="00A1022A"/>
    <w:rsid w:val="00A1756D"/>
    <w:rsid w:val="00A21810"/>
    <w:rsid w:val="00A32825"/>
    <w:rsid w:val="00A360BA"/>
    <w:rsid w:val="00A41A30"/>
    <w:rsid w:val="00A43D26"/>
    <w:rsid w:val="00A44DC6"/>
    <w:rsid w:val="00A47F77"/>
    <w:rsid w:val="00A64161"/>
    <w:rsid w:val="00A66977"/>
    <w:rsid w:val="00A90E67"/>
    <w:rsid w:val="00A96D23"/>
    <w:rsid w:val="00A9714D"/>
    <w:rsid w:val="00A97313"/>
    <w:rsid w:val="00AA0724"/>
    <w:rsid w:val="00AA1254"/>
    <w:rsid w:val="00AA253C"/>
    <w:rsid w:val="00AA4660"/>
    <w:rsid w:val="00AB26F6"/>
    <w:rsid w:val="00AC1012"/>
    <w:rsid w:val="00AC12B0"/>
    <w:rsid w:val="00AC4D5D"/>
    <w:rsid w:val="00AD2092"/>
    <w:rsid w:val="00AD4A22"/>
    <w:rsid w:val="00AD55F6"/>
    <w:rsid w:val="00AE0B80"/>
    <w:rsid w:val="00AE5CF4"/>
    <w:rsid w:val="00AE5E49"/>
    <w:rsid w:val="00AE6EE5"/>
    <w:rsid w:val="00AF20AC"/>
    <w:rsid w:val="00AF5222"/>
    <w:rsid w:val="00AF6D36"/>
    <w:rsid w:val="00B001D6"/>
    <w:rsid w:val="00B03CFD"/>
    <w:rsid w:val="00B11E9A"/>
    <w:rsid w:val="00B129CD"/>
    <w:rsid w:val="00B1333D"/>
    <w:rsid w:val="00B22643"/>
    <w:rsid w:val="00B26E91"/>
    <w:rsid w:val="00B2754B"/>
    <w:rsid w:val="00B31E43"/>
    <w:rsid w:val="00B33FA7"/>
    <w:rsid w:val="00B34A3B"/>
    <w:rsid w:val="00B36C0C"/>
    <w:rsid w:val="00B42CA0"/>
    <w:rsid w:val="00B4417D"/>
    <w:rsid w:val="00B449DA"/>
    <w:rsid w:val="00B46726"/>
    <w:rsid w:val="00B55A5D"/>
    <w:rsid w:val="00B55DB6"/>
    <w:rsid w:val="00B56FEA"/>
    <w:rsid w:val="00B66483"/>
    <w:rsid w:val="00B72B07"/>
    <w:rsid w:val="00B734B6"/>
    <w:rsid w:val="00B73E5F"/>
    <w:rsid w:val="00B77778"/>
    <w:rsid w:val="00B8271E"/>
    <w:rsid w:val="00B86835"/>
    <w:rsid w:val="00B93959"/>
    <w:rsid w:val="00B959F9"/>
    <w:rsid w:val="00B97093"/>
    <w:rsid w:val="00B973B2"/>
    <w:rsid w:val="00BA0ECF"/>
    <w:rsid w:val="00BA3BC2"/>
    <w:rsid w:val="00BA3E27"/>
    <w:rsid w:val="00BB04F0"/>
    <w:rsid w:val="00BB7D6A"/>
    <w:rsid w:val="00BC0A99"/>
    <w:rsid w:val="00BC44B0"/>
    <w:rsid w:val="00BD0F72"/>
    <w:rsid w:val="00BD1EA2"/>
    <w:rsid w:val="00BF158F"/>
    <w:rsid w:val="00C03A3B"/>
    <w:rsid w:val="00C049C9"/>
    <w:rsid w:val="00C10B48"/>
    <w:rsid w:val="00C17C57"/>
    <w:rsid w:val="00C25F64"/>
    <w:rsid w:val="00C30F25"/>
    <w:rsid w:val="00C353AD"/>
    <w:rsid w:val="00C372EC"/>
    <w:rsid w:val="00C4040A"/>
    <w:rsid w:val="00C422C8"/>
    <w:rsid w:val="00C4661F"/>
    <w:rsid w:val="00C46817"/>
    <w:rsid w:val="00C46B41"/>
    <w:rsid w:val="00C63155"/>
    <w:rsid w:val="00C6606A"/>
    <w:rsid w:val="00C7018D"/>
    <w:rsid w:val="00C72D1A"/>
    <w:rsid w:val="00C7723D"/>
    <w:rsid w:val="00C83F79"/>
    <w:rsid w:val="00C85504"/>
    <w:rsid w:val="00C87CD8"/>
    <w:rsid w:val="00C90794"/>
    <w:rsid w:val="00C97269"/>
    <w:rsid w:val="00CA440C"/>
    <w:rsid w:val="00CB0919"/>
    <w:rsid w:val="00CB1F4A"/>
    <w:rsid w:val="00CB7E88"/>
    <w:rsid w:val="00CC2834"/>
    <w:rsid w:val="00CC71A3"/>
    <w:rsid w:val="00CC7F60"/>
    <w:rsid w:val="00CD65B9"/>
    <w:rsid w:val="00CD781D"/>
    <w:rsid w:val="00CE6720"/>
    <w:rsid w:val="00CF481A"/>
    <w:rsid w:val="00CF53E8"/>
    <w:rsid w:val="00D13ABF"/>
    <w:rsid w:val="00D14960"/>
    <w:rsid w:val="00D22754"/>
    <w:rsid w:val="00D23820"/>
    <w:rsid w:val="00D23EF3"/>
    <w:rsid w:val="00D25E3E"/>
    <w:rsid w:val="00D3707D"/>
    <w:rsid w:val="00D46423"/>
    <w:rsid w:val="00D54AAD"/>
    <w:rsid w:val="00D56529"/>
    <w:rsid w:val="00D7453F"/>
    <w:rsid w:val="00D7602E"/>
    <w:rsid w:val="00D8020C"/>
    <w:rsid w:val="00D92079"/>
    <w:rsid w:val="00D95447"/>
    <w:rsid w:val="00DA772F"/>
    <w:rsid w:val="00DB2803"/>
    <w:rsid w:val="00DB28F4"/>
    <w:rsid w:val="00DB4F25"/>
    <w:rsid w:val="00DB5607"/>
    <w:rsid w:val="00DD1F2D"/>
    <w:rsid w:val="00DD29C6"/>
    <w:rsid w:val="00DD5046"/>
    <w:rsid w:val="00DE0784"/>
    <w:rsid w:val="00DE2900"/>
    <w:rsid w:val="00DE7A16"/>
    <w:rsid w:val="00DF761B"/>
    <w:rsid w:val="00E05092"/>
    <w:rsid w:val="00E11EA5"/>
    <w:rsid w:val="00E13166"/>
    <w:rsid w:val="00E1640D"/>
    <w:rsid w:val="00E25291"/>
    <w:rsid w:val="00E254F7"/>
    <w:rsid w:val="00E25ECD"/>
    <w:rsid w:val="00E35809"/>
    <w:rsid w:val="00E41611"/>
    <w:rsid w:val="00E50CF0"/>
    <w:rsid w:val="00E54F8F"/>
    <w:rsid w:val="00E65898"/>
    <w:rsid w:val="00E70791"/>
    <w:rsid w:val="00E72BFD"/>
    <w:rsid w:val="00E8074F"/>
    <w:rsid w:val="00E812E4"/>
    <w:rsid w:val="00E85100"/>
    <w:rsid w:val="00E8718C"/>
    <w:rsid w:val="00E910CE"/>
    <w:rsid w:val="00E9485B"/>
    <w:rsid w:val="00E94AE8"/>
    <w:rsid w:val="00EA0442"/>
    <w:rsid w:val="00EA1CBB"/>
    <w:rsid w:val="00EA604D"/>
    <w:rsid w:val="00EA6960"/>
    <w:rsid w:val="00EA74DC"/>
    <w:rsid w:val="00EB2EB6"/>
    <w:rsid w:val="00EC095B"/>
    <w:rsid w:val="00EC3A8D"/>
    <w:rsid w:val="00EC54B2"/>
    <w:rsid w:val="00ED2891"/>
    <w:rsid w:val="00ED3333"/>
    <w:rsid w:val="00EE3997"/>
    <w:rsid w:val="00EF06E8"/>
    <w:rsid w:val="00F01615"/>
    <w:rsid w:val="00F03D5A"/>
    <w:rsid w:val="00F05061"/>
    <w:rsid w:val="00F1431A"/>
    <w:rsid w:val="00F179B9"/>
    <w:rsid w:val="00F23E6E"/>
    <w:rsid w:val="00F249BC"/>
    <w:rsid w:val="00F2526C"/>
    <w:rsid w:val="00F462C7"/>
    <w:rsid w:val="00F55845"/>
    <w:rsid w:val="00F562DD"/>
    <w:rsid w:val="00F56CE9"/>
    <w:rsid w:val="00F67F86"/>
    <w:rsid w:val="00F7180F"/>
    <w:rsid w:val="00F72B61"/>
    <w:rsid w:val="00F74AD0"/>
    <w:rsid w:val="00F77E34"/>
    <w:rsid w:val="00F83892"/>
    <w:rsid w:val="00F8542D"/>
    <w:rsid w:val="00F86C37"/>
    <w:rsid w:val="00F94303"/>
    <w:rsid w:val="00F94760"/>
    <w:rsid w:val="00F95443"/>
    <w:rsid w:val="00F97C3E"/>
    <w:rsid w:val="00FA665F"/>
    <w:rsid w:val="00FA6695"/>
    <w:rsid w:val="00FA75C7"/>
    <w:rsid w:val="00FB27F3"/>
    <w:rsid w:val="00FB37AB"/>
    <w:rsid w:val="00FB38FB"/>
    <w:rsid w:val="00FB6D65"/>
    <w:rsid w:val="00FD2A76"/>
    <w:rsid w:val="00FE243D"/>
    <w:rsid w:val="00FE2841"/>
    <w:rsid w:val="00FE2991"/>
    <w:rsid w:val="00FE6DC0"/>
    <w:rsid w:val="02579906"/>
    <w:rsid w:val="026F9273"/>
    <w:rsid w:val="034A91B0"/>
    <w:rsid w:val="0387CDEA"/>
    <w:rsid w:val="04AAB96E"/>
    <w:rsid w:val="0549AB61"/>
    <w:rsid w:val="06650F01"/>
    <w:rsid w:val="070B88D8"/>
    <w:rsid w:val="07234F74"/>
    <w:rsid w:val="0826EC78"/>
    <w:rsid w:val="09D09DB1"/>
    <w:rsid w:val="0A2E2585"/>
    <w:rsid w:val="0B45C984"/>
    <w:rsid w:val="0BAA7495"/>
    <w:rsid w:val="0C170C31"/>
    <w:rsid w:val="0CEB1B02"/>
    <w:rsid w:val="0CF2D5B7"/>
    <w:rsid w:val="0DF60D19"/>
    <w:rsid w:val="0EF9774C"/>
    <w:rsid w:val="10466AFA"/>
    <w:rsid w:val="10D02607"/>
    <w:rsid w:val="10E81F74"/>
    <w:rsid w:val="11BE8C25"/>
    <w:rsid w:val="11DBAF96"/>
    <w:rsid w:val="13956DB1"/>
    <w:rsid w:val="1453E0F5"/>
    <w:rsid w:val="146BDA62"/>
    <w:rsid w:val="156F4495"/>
    <w:rsid w:val="15756AB8"/>
    <w:rsid w:val="169F46A8"/>
    <w:rsid w:val="17AA9E61"/>
    <w:rsid w:val="181C2D30"/>
    <w:rsid w:val="18599C3B"/>
    <w:rsid w:val="1A4FFF18"/>
    <w:rsid w:val="1AF96E47"/>
    <w:rsid w:val="1D2D0D5E"/>
    <w:rsid w:val="1D45399C"/>
    <w:rsid w:val="1EAA26B7"/>
    <w:rsid w:val="22FC93A1"/>
    <w:rsid w:val="23CFD829"/>
    <w:rsid w:val="24D637B4"/>
    <w:rsid w:val="25A9AF0D"/>
    <w:rsid w:val="27741087"/>
    <w:rsid w:val="27CED5D4"/>
    <w:rsid w:val="2886BD53"/>
    <w:rsid w:val="299EF8CA"/>
    <w:rsid w:val="29B72508"/>
    <w:rsid w:val="2A30A15D"/>
    <w:rsid w:val="2A4DC4CE"/>
    <w:rsid w:val="2B79027F"/>
    <w:rsid w:val="2BA5CD30"/>
    <w:rsid w:val="2C644074"/>
    <w:rsid w:val="2E830E47"/>
    <w:rsid w:val="2E97DF8B"/>
    <w:rsid w:val="2F5652CF"/>
    <w:rsid w:val="2FFFF4CF"/>
    <w:rsid w:val="323393E6"/>
    <w:rsid w:val="340D6ACA"/>
    <w:rsid w:val="35E41985"/>
    <w:rsid w:val="36E783B8"/>
    <w:rsid w:val="3AE4882A"/>
    <w:rsid w:val="3BB36CF7"/>
    <w:rsid w:val="3BC34708"/>
    <w:rsid w:val="3BCB6664"/>
    <w:rsid w:val="3CE3A1DB"/>
    <w:rsid w:val="3D8D110A"/>
    <w:rsid w:val="3F843E30"/>
    <w:rsid w:val="425604F1"/>
    <w:rsid w:val="42FFA6F1"/>
    <w:rsid w:val="442FA904"/>
    <w:rsid w:val="445FCEAF"/>
    <w:rsid w:val="45064886"/>
    <w:rsid w:val="45780A26"/>
    <w:rsid w:val="46B02C90"/>
    <w:rsid w:val="4731C841"/>
    <w:rsid w:val="4A43F365"/>
    <w:rsid w:val="4BEDD76F"/>
    <w:rsid w:val="4DC7AE53"/>
    <w:rsid w:val="4ECAE5B5"/>
    <w:rsid w:val="4ECB1886"/>
    <w:rsid w:val="4FEC0AD1"/>
    <w:rsid w:val="4FFB4D6A"/>
    <w:rsid w:val="50A4BC99"/>
    <w:rsid w:val="51780121"/>
    <w:rsid w:val="51E9F592"/>
    <w:rsid w:val="52669A10"/>
    <w:rsid w:val="5396CEF4"/>
    <w:rsid w:val="54EC7976"/>
    <w:rsid w:val="5585A9ED"/>
    <w:rsid w:val="59362F8C"/>
    <w:rsid w:val="59D8AE4F"/>
    <w:rsid w:val="5AF80D03"/>
    <w:rsid w:val="5DD51B49"/>
    <w:rsid w:val="60F42B26"/>
    <w:rsid w:val="62278833"/>
    <w:rsid w:val="64D4A39F"/>
    <w:rsid w:val="6769F86F"/>
    <w:rsid w:val="67B1E4B6"/>
    <w:rsid w:val="67DEE238"/>
    <w:rsid w:val="695B95EF"/>
    <w:rsid w:val="699904FA"/>
    <w:rsid w:val="6A024297"/>
    <w:rsid w:val="6D96096C"/>
    <w:rsid w:val="6E6C761D"/>
    <w:rsid w:val="6F3FED76"/>
    <w:rsid w:val="704324D8"/>
    <w:rsid w:val="705B5116"/>
    <w:rsid w:val="721D2E8D"/>
    <w:rsid w:val="740BD6B5"/>
    <w:rsid w:val="74588859"/>
    <w:rsid w:val="75273A55"/>
    <w:rsid w:val="79DAF756"/>
    <w:rsid w:val="7C884593"/>
    <w:rsid w:val="7CE535EF"/>
    <w:rsid w:val="7D84BF5A"/>
    <w:rsid w:val="7E621C77"/>
    <w:rsid w:val="7EBBE4A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F4CADC"/>
  <w15:chartTrackingRefBased/>
  <w15:docId w15:val="{7FEE6C08-44F4-4FBD-BB97-62BA71F2E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561"/>
    <w:pPr>
      <w:spacing w:after="0" w:line="240" w:lineRule="auto"/>
    </w:pPr>
    <w:rPr>
      <w:rFonts w:ascii="Times New Roman" w:eastAsia="Times New Roman" w:hAnsi="Times New Roman" w:cs="Times New Roman"/>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C4561"/>
    <w:pPr>
      <w:tabs>
        <w:tab w:val="center" w:pos="4320"/>
        <w:tab w:val="right" w:pos="8640"/>
      </w:tabs>
    </w:pPr>
  </w:style>
  <w:style w:type="character" w:customStyle="1" w:styleId="HeaderChar">
    <w:name w:val="Header Char"/>
    <w:basedOn w:val="DefaultParagraphFont"/>
    <w:link w:val="Header"/>
    <w:uiPriority w:val="99"/>
    <w:rsid w:val="001C4561"/>
    <w:rPr>
      <w:rFonts w:ascii="Times New Roman" w:eastAsia="Times New Roman" w:hAnsi="Times New Roman" w:cs="Times New Roman"/>
      <w:sz w:val="24"/>
      <w:szCs w:val="20"/>
    </w:rPr>
  </w:style>
  <w:style w:type="paragraph" w:styleId="Footer">
    <w:name w:val="footer"/>
    <w:basedOn w:val="Normal"/>
    <w:link w:val="FooterChar"/>
    <w:uiPriority w:val="99"/>
    <w:rsid w:val="001C4561"/>
    <w:pPr>
      <w:tabs>
        <w:tab w:val="center" w:pos="4320"/>
        <w:tab w:val="right" w:pos="8640"/>
      </w:tabs>
    </w:pPr>
  </w:style>
  <w:style w:type="character" w:customStyle="1" w:styleId="FooterChar">
    <w:name w:val="Footer Char"/>
    <w:basedOn w:val="DefaultParagraphFont"/>
    <w:link w:val="Footer"/>
    <w:uiPriority w:val="99"/>
    <w:rsid w:val="001C4561"/>
    <w:rPr>
      <w:rFonts w:ascii="Times New Roman" w:eastAsia="Times New Roman" w:hAnsi="Times New Roman" w:cs="Times New Roman"/>
      <w:sz w:val="24"/>
      <w:szCs w:val="20"/>
    </w:rPr>
  </w:style>
  <w:style w:type="paragraph" w:styleId="BodyText">
    <w:name w:val="Body Text"/>
    <w:basedOn w:val="Normal"/>
    <w:link w:val="BodyTextChar"/>
    <w:rsid w:val="001C4561"/>
    <w:rPr>
      <w:rFonts w:ascii="Arial Narrow" w:hAnsi="Arial Narrow"/>
      <w:b/>
    </w:rPr>
  </w:style>
  <w:style w:type="character" w:customStyle="1" w:styleId="BodyTextChar">
    <w:name w:val="Body Text Char"/>
    <w:basedOn w:val="DefaultParagraphFont"/>
    <w:link w:val="BodyText"/>
    <w:rsid w:val="001C4561"/>
    <w:rPr>
      <w:rFonts w:ascii="Arial Narrow" w:eastAsia="Times New Roman" w:hAnsi="Arial Narrow" w:cs="Times New Roman"/>
      <w:b/>
      <w:sz w:val="24"/>
      <w:szCs w:val="20"/>
    </w:rPr>
  </w:style>
  <w:style w:type="character" w:styleId="Hyperlink">
    <w:name w:val="Hyperlink"/>
    <w:rsid w:val="001C4561"/>
    <w:rPr>
      <w:color w:val="0000FF"/>
      <w:u w:val="single"/>
    </w:rPr>
  </w:style>
  <w:style w:type="paragraph" w:customStyle="1" w:styleId="Outlinelevel5">
    <w:name w:val="Outline level 5"/>
    <w:basedOn w:val="BodyText"/>
    <w:rsid w:val="001C4561"/>
    <w:pPr>
      <w:numPr>
        <w:ilvl w:val="4"/>
        <w:numId w:val="1"/>
      </w:numPr>
      <w:tabs>
        <w:tab w:val="left" w:pos="2592"/>
      </w:tabs>
      <w:spacing w:after="240"/>
    </w:pPr>
    <w:rPr>
      <w:rFonts w:ascii="Times New Roman" w:hAnsi="Times New Roman"/>
      <w:b w:val="0"/>
    </w:rPr>
  </w:style>
  <w:style w:type="paragraph" w:customStyle="1" w:styleId="Outlinea">
    <w:name w:val="Outline a"/>
    <w:basedOn w:val="BodyText"/>
    <w:rsid w:val="001C4561"/>
    <w:pPr>
      <w:numPr>
        <w:ilvl w:val="2"/>
        <w:numId w:val="1"/>
      </w:numPr>
      <w:tabs>
        <w:tab w:val="clear" w:pos="1152"/>
        <w:tab w:val="left" w:pos="1008"/>
        <w:tab w:val="num" w:pos="5400"/>
      </w:tabs>
      <w:spacing w:after="240"/>
    </w:pPr>
    <w:rPr>
      <w:rFonts w:ascii="Times New Roman" w:hAnsi="Times New Roman"/>
      <w:b w:val="0"/>
    </w:rPr>
  </w:style>
  <w:style w:type="paragraph" w:customStyle="1" w:styleId="Outline1">
    <w:name w:val="Outline (1)"/>
    <w:basedOn w:val="BodyText"/>
    <w:rsid w:val="001C4561"/>
    <w:pPr>
      <w:numPr>
        <w:ilvl w:val="5"/>
        <w:numId w:val="1"/>
      </w:numPr>
      <w:tabs>
        <w:tab w:val="clear" w:pos="2304"/>
        <w:tab w:val="num" w:pos="1152"/>
        <w:tab w:val="left" w:pos="1584"/>
      </w:tabs>
      <w:spacing w:after="240"/>
    </w:pPr>
    <w:rPr>
      <w:rFonts w:ascii="Times New Roman" w:hAnsi="Times New Roman"/>
      <w:b w:val="0"/>
    </w:rPr>
  </w:style>
  <w:style w:type="paragraph" w:styleId="Caption">
    <w:name w:val="caption"/>
    <w:basedOn w:val="Normal"/>
    <w:next w:val="Normal"/>
    <w:qFormat/>
    <w:rsid w:val="001C4561"/>
    <w:pPr>
      <w:widowControl w:val="0"/>
      <w:autoSpaceDE w:val="0"/>
      <w:autoSpaceDN w:val="0"/>
      <w:adjustRightInd w:val="0"/>
      <w:spacing w:after="100" w:afterAutospacing="1" w:line="273" w:lineRule="atLeast"/>
    </w:pPr>
    <w:rPr>
      <w:rFonts w:ascii="Palatino Linotype" w:hAnsi="Palatino Linotype"/>
      <w:b/>
      <w:bCs/>
      <w:snapToGrid w:val="0"/>
      <w:color w:val="00006A"/>
      <w:sz w:val="28"/>
      <w:szCs w:val="28"/>
    </w:rPr>
  </w:style>
  <w:style w:type="character" w:styleId="CommentReference">
    <w:name w:val="annotation reference"/>
    <w:basedOn w:val="DefaultParagraphFont"/>
    <w:uiPriority w:val="99"/>
    <w:semiHidden/>
    <w:unhideWhenUsed/>
    <w:rsid w:val="00D92079"/>
    <w:rPr>
      <w:sz w:val="16"/>
      <w:szCs w:val="16"/>
    </w:rPr>
  </w:style>
  <w:style w:type="paragraph" w:styleId="CommentText">
    <w:name w:val="annotation text"/>
    <w:basedOn w:val="Normal"/>
    <w:link w:val="CommentTextChar"/>
    <w:uiPriority w:val="99"/>
    <w:unhideWhenUsed/>
    <w:rsid w:val="00D92079"/>
    <w:rPr>
      <w:sz w:val="20"/>
    </w:rPr>
  </w:style>
  <w:style w:type="character" w:customStyle="1" w:styleId="CommentTextChar">
    <w:name w:val="Comment Text Char"/>
    <w:basedOn w:val="DefaultParagraphFont"/>
    <w:link w:val="CommentText"/>
    <w:uiPriority w:val="99"/>
    <w:rsid w:val="00D9207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92079"/>
    <w:rPr>
      <w:b/>
      <w:bCs/>
    </w:rPr>
  </w:style>
  <w:style w:type="character" w:customStyle="1" w:styleId="CommentSubjectChar">
    <w:name w:val="Comment Subject Char"/>
    <w:basedOn w:val="CommentTextChar"/>
    <w:link w:val="CommentSubject"/>
    <w:uiPriority w:val="99"/>
    <w:semiHidden/>
    <w:rsid w:val="00D92079"/>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D9207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2079"/>
    <w:rPr>
      <w:rFonts w:ascii="Segoe UI" w:eastAsia="Times New Roman" w:hAnsi="Segoe UI" w:cs="Segoe UI"/>
      <w:sz w:val="18"/>
      <w:szCs w:val="18"/>
    </w:rPr>
  </w:style>
  <w:style w:type="character" w:styleId="FollowedHyperlink">
    <w:name w:val="FollowedHyperlink"/>
    <w:basedOn w:val="DefaultParagraphFont"/>
    <w:uiPriority w:val="99"/>
    <w:semiHidden/>
    <w:unhideWhenUsed/>
    <w:rsid w:val="00851873"/>
    <w:rPr>
      <w:color w:val="954F72" w:themeColor="followedHyperlink"/>
      <w:u w:val="single"/>
    </w:rPr>
  </w:style>
  <w:style w:type="paragraph" w:styleId="ListParagraph">
    <w:name w:val="List Paragraph"/>
    <w:basedOn w:val="Normal"/>
    <w:uiPriority w:val="1"/>
    <w:qFormat/>
    <w:rsid w:val="008E0BF6"/>
    <w:pPr>
      <w:ind w:left="720"/>
      <w:contextualSpacing/>
    </w:pPr>
  </w:style>
  <w:style w:type="paragraph" w:customStyle="1" w:styleId="Default">
    <w:name w:val="Default"/>
    <w:rsid w:val="00262CB0"/>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2D4DF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90BAF"/>
    <w:pPr>
      <w:spacing w:after="0" w:line="240" w:lineRule="auto"/>
    </w:pPr>
    <w:rPr>
      <w:rFonts w:ascii="Times New Roman" w:eastAsia="Times New Roman" w:hAnsi="Times New Roman" w:cs="Times New Roman"/>
      <w:sz w:val="24"/>
      <w:szCs w:val="20"/>
    </w:rPr>
  </w:style>
  <w:style w:type="character" w:styleId="Mention">
    <w:name w:val="Mention"/>
    <w:basedOn w:val="DefaultParagraphFont"/>
    <w:uiPriority w:val="99"/>
    <w:unhideWhenUsed/>
    <w:rsid w:val="00A66977"/>
    <w:rPr>
      <w:color w:val="2B579A"/>
      <w:shd w:val="clear" w:color="auto" w:fill="E1DFDD"/>
    </w:rPr>
  </w:style>
  <w:style w:type="character" w:styleId="UnresolvedMention">
    <w:name w:val="Unresolved Mention"/>
    <w:basedOn w:val="DefaultParagraphFont"/>
    <w:uiPriority w:val="99"/>
    <w:semiHidden/>
    <w:unhideWhenUsed/>
    <w:rsid w:val="00A669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457638">
      <w:bodyDiv w:val="1"/>
      <w:marLeft w:val="0"/>
      <w:marRight w:val="0"/>
      <w:marTop w:val="0"/>
      <w:marBottom w:val="0"/>
      <w:divBdr>
        <w:top w:val="none" w:sz="0" w:space="0" w:color="auto"/>
        <w:left w:val="none" w:sz="0" w:space="0" w:color="auto"/>
        <w:bottom w:val="none" w:sz="0" w:space="0" w:color="auto"/>
        <w:right w:val="none" w:sz="0" w:space="0" w:color="auto"/>
      </w:divBdr>
    </w:div>
    <w:div w:id="2068413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hyperlink" Target="https://connect.ncdot.gov/business/Transit/Pages/Regional-Support-Map.aspx" TargetMode="External"/><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connect.ncdot.gov/business/Transit/Pages/Regional-Support-Map.aspx" TargetMode="External"/><Relationship Id="rId25"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hyperlink" Target="https://www.epa.gov/ejscreen/learn-use-ejscreen" TargetMode="External"/><Relationship Id="rId20" Type="http://schemas.openxmlformats.org/officeDocument/2006/relationships/hyperlink" Target="https://ejscreen.epa.gov/mapper/"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ejscreen.epa.gov/mapper/" TargetMode="External"/><Relationship Id="rId23" Type="http://schemas.openxmlformats.org/officeDocument/2006/relationships/image" Target="media/image4.png"/><Relationship Id="rId28" Type="http://schemas.openxmlformats.org/officeDocument/2006/relationships/hyperlink" Target="https://www.epa.gov/ejscreen/learn-use-ejscreen" TargetMode="External"/><Relationship Id="rId10" Type="http://schemas.openxmlformats.org/officeDocument/2006/relationships/webSettings" Target="webSettings.xml"/><Relationship Id="rId19" Type="http://schemas.openxmlformats.org/officeDocument/2006/relationships/hyperlink" Target="https://ejscreen.epa.gov/mapper/"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0.jpe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WrappedLabelHistory xmlns:xsi="http://www.w3.org/2001/XMLSchema-instance" xmlns:xsd="http://www.w3.org/2001/XMLSchema" xmlns="http://www.boldonjames.com/2016/02/Classifier/internal/wrappedLabelHistory">
  <Value>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</Value>
</WrappedLabelHistory>
</file>

<file path=customXml/item2.xml><?xml version="1.0" encoding="utf-8"?>
<ct:contentTypeSchema xmlns:ct="http://schemas.microsoft.com/office/2006/metadata/contentType" xmlns:ma="http://schemas.microsoft.com/office/2006/metadata/properties/metaAttributes" ct:_="" ma:_="" ma:contentTypeName="Document" ma:contentTypeID="0x0101002981659B244BE342A92C3B1847F97C64" ma:contentTypeVersion="13" ma:contentTypeDescription="Create a new document." ma:contentTypeScope="" ma:versionID="b30da7492cedce5dac665f2c992fda55">
  <xsd:schema xmlns:xsd="http://www.w3.org/2001/XMLSchema" xmlns:xs="http://www.w3.org/2001/XMLSchema" xmlns:p="http://schemas.microsoft.com/office/2006/metadata/properties" xmlns:ns2="2af2b31b-fcf0-44fb-a755-8016889d593d" xmlns:ns3="d410191d-dd08-4971-b00a-0585ce489b21" targetNamespace="http://schemas.microsoft.com/office/2006/metadata/properties" ma:root="true" ma:fieldsID="553027b1aeb249118f588d24c7c8e197" ns2:_="" ns3:_="">
    <xsd:import namespace="2af2b31b-fcf0-44fb-a755-8016889d593d"/>
    <xsd:import namespace="d410191d-dd08-4971-b00a-0585ce489b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f2b31b-fcf0-44fb-a755-8016889d59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10191d-dd08-4971-b00a-0585ce489b2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000b8e77-ba4a-49e2-95aa-3bea249d4e92}" ma:internalName="TaxCatchAll" ma:showField="CatchAllData" ma:web="d410191d-dd08-4971-b00a-0585ce489b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af2b31b-fcf0-44fb-a755-8016889d593d">
      <Terms xmlns="http://schemas.microsoft.com/office/infopath/2007/PartnerControls"/>
    </lcf76f155ced4ddcb4097134ff3c332f>
    <TaxCatchAll xmlns="d410191d-dd08-4971-b00a-0585ce489b21"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sisl xmlns:xsi="http://www.w3.org/2001/XMLSchema-instance" xmlns:xsd="http://www.w3.org/2001/XMLSchema" xmlns="http://www.boldonjames.com/2008/01/sie/internal/label" sislVersion="0" policy="f2020d7d-77c8-4294-a427-590ee8eb3328" origin="userSelected"/>
</file>

<file path=customXml/itemProps1.xml><?xml version="1.0" encoding="utf-8"?>
<ds:datastoreItem xmlns:ds="http://schemas.openxmlformats.org/officeDocument/2006/customXml" ds:itemID="{8F66BBDD-FBAC-46DF-ACC4-71AB64A2B858}">
  <ds:schemaRefs>
    <ds:schemaRef ds:uri="http://www.w3.org/2001/XMLSchema"/>
    <ds:schemaRef ds:uri="http://www.boldonjames.com/2016/02/Classifier/internal/wrappedLabelHistory"/>
  </ds:schemaRefs>
</ds:datastoreItem>
</file>

<file path=customXml/itemProps2.xml><?xml version="1.0" encoding="utf-8"?>
<ds:datastoreItem xmlns:ds="http://schemas.openxmlformats.org/officeDocument/2006/customXml" ds:itemID="{2CFEB8FF-53CF-4A0C-8DD3-1496FD2917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f2b31b-fcf0-44fb-a755-8016889d593d"/>
    <ds:schemaRef ds:uri="d410191d-dd08-4971-b00a-0585ce489b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6BEF4A-508B-499F-B760-D360620A411A}">
  <ds:schemaRefs>
    <ds:schemaRef ds:uri="http://schemas.microsoft.com/sharepoint/v3/contenttype/forms"/>
  </ds:schemaRefs>
</ds:datastoreItem>
</file>

<file path=customXml/itemProps4.xml><?xml version="1.0" encoding="utf-8"?>
<ds:datastoreItem xmlns:ds="http://schemas.openxmlformats.org/officeDocument/2006/customXml" ds:itemID="{6C797F3A-64B4-40BF-998D-3E95B8B5DBAB}">
  <ds:schemaRefs>
    <ds:schemaRef ds:uri="http://schemas.microsoft.com/office/2006/metadata/properties"/>
    <ds:schemaRef ds:uri="http://schemas.microsoft.com/office/infopath/2007/PartnerControls"/>
    <ds:schemaRef ds:uri="2af2b31b-fcf0-44fb-a755-8016889d593d"/>
    <ds:schemaRef ds:uri="d410191d-dd08-4971-b00a-0585ce489b21"/>
  </ds:schemaRefs>
</ds:datastoreItem>
</file>

<file path=customXml/itemProps5.xml><?xml version="1.0" encoding="utf-8"?>
<ds:datastoreItem xmlns:ds="http://schemas.openxmlformats.org/officeDocument/2006/customXml" ds:itemID="{DA6A3E23-9522-4A8C-84A8-FED99DDD833A}">
  <ds:schemaRefs>
    <ds:schemaRef ds:uri="http://schemas.openxmlformats.org/officeDocument/2006/bibliography"/>
  </ds:schemaRefs>
</ds:datastoreItem>
</file>

<file path=customXml/itemProps6.xml><?xml version="1.0" encoding="utf-8"?>
<ds:datastoreItem xmlns:ds="http://schemas.openxmlformats.org/officeDocument/2006/customXml" ds:itemID="{2B3CCACD-8DC7-4014-89B9-91A17F91238F}">
  <ds:schemaRefs>
    <ds:schemaRef ds:uri="http://www.w3.org/2001/XMLSchema"/>
    <ds:schemaRef ds:uri="http://www.boldonjames.com/2008/01/sie/internal/label"/>
  </ds:schemaRefs>
</ds:datastoreItem>
</file>

<file path=docMetadata/LabelInfo.xml><?xml version="1.0" encoding="utf-8"?>
<clbl:labelList xmlns:clbl="http://schemas.microsoft.com/office/2020/mipLabelMetadata">
  <clbl:label id="{3d234255-e20f-4205-88a5-9658a402999b}" enabled="0" method="" siteId="{3d234255-e20f-4205-88a5-9658a402999b}" removed="1"/>
</clbl:labelList>
</file>

<file path=docProps/app.xml><?xml version="1.0" encoding="utf-8"?>
<Properties xmlns="http://schemas.openxmlformats.org/officeDocument/2006/extended-properties" xmlns:vt="http://schemas.openxmlformats.org/officeDocument/2006/docPropsVTypes">
  <Template>Normal</Template>
  <TotalTime>222</TotalTime>
  <Pages>9</Pages>
  <Words>2411</Words>
  <Characters>13748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16127</CharactersWithSpaces>
  <SharedDoc>false</SharedDoc>
  <HLinks>
    <vt:vector size="12" baseType="variant">
      <vt:variant>
        <vt:i4>3276851</vt:i4>
      </vt:variant>
      <vt:variant>
        <vt:i4>0</vt:i4>
      </vt:variant>
      <vt:variant>
        <vt:i4>0</vt:i4>
      </vt:variant>
      <vt:variant>
        <vt:i4>5</vt:i4>
      </vt:variant>
      <vt:variant>
        <vt:lpwstr>https://www.transit.dot.gov/sites/fta.dot.gov/files/docs/FTA_Circular_9040_1Gwith_index_-_Final_Revised_-_vm_10-15-14%281%29.pdf</vt:lpwstr>
      </vt:variant>
      <vt:variant>
        <vt:lpwstr/>
      </vt:variant>
      <vt:variant>
        <vt:i4>8257616</vt:i4>
      </vt:variant>
      <vt:variant>
        <vt:i4>0</vt:i4>
      </vt:variant>
      <vt:variant>
        <vt:i4>0</vt:i4>
      </vt:variant>
      <vt:variant>
        <vt:i4>5</vt:i4>
      </vt:variant>
      <vt:variant>
        <vt:lpwstr>mailto:cmfreitag@ncdot.gov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Brumfield, Ryan M</dc:creator>
  <cp:keywords/>
  <dc:description/>
  <cp:lastModifiedBy>Carolyn M. Freitag</cp:lastModifiedBy>
  <cp:revision>5</cp:revision>
  <dcterms:created xsi:type="dcterms:W3CDTF">2025-11-13T18:03:00Z</dcterms:created>
  <dcterms:modified xsi:type="dcterms:W3CDTF">2025-11-20T16:20:00Z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0x0101002981659B244BE342A92C3B1847F97C64</vt:lpwstr>
  </property>
  <property fmtid="{D5CDD505-2E9C-101B-9397-08002B2CF9AE}" pid="3" name="MediaServiceImageTags">
    <vt:lpwstr/>
  </property>
  <property fmtid="{D5CDD505-2E9C-101B-9397-08002B2CF9AE}" pid="4" name="docIndexRef">
    <vt:lpwstr>4a52793a-fcc7-4f05-a198-f6dcbfaf42eb</vt:lpwstr>
  </property>
  <property fmtid="{D5CDD505-2E9C-101B-9397-08002B2CF9AE}" pid="5" name="bjSaver">
    <vt:lpwstr>xyp8oR4z/iDl97htsJE60DLTzTJCiKve</vt:lpwstr>
  </property>
  <property fmtid="{D5CDD505-2E9C-101B-9397-08002B2CF9AE}" pid="6" name="bjDocumentSecurityLabel">
    <vt:lpwstr>No Marking</vt:lpwstr>
  </property>
  <property fmtid="{D5CDD505-2E9C-101B-9397-08002B2CF9AE}" pid="7" name="bjClsUserRVM">
    <vt:lpwstr>[]</vt:lpwstr>
  </property>
  <property fmtid="{D5CDD505-2E9C-101B-9397-08002B2CF9AE}" pid="8" name="bjLabelHistoryID">
    <vt:lpwstr>{8F66BBDD-FBAC-46DF-ACC4-71AB64A2B858}</vt:lpwstr>
  </property>
</Properties>
</file>